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6.png" ContentType="image/png"/>
  <Override PartName="/word/media/image3.png" ContentType="image/png"/>
  <Override PartName="/word/media/image7.png" ContentType="image/png"/>
  <Override PartName="/word/media/image4.png" ContentType="image/png"/>
  <Override PartName="/word/media/image8.png" ContentType="image/png"/>
  <Override PartName="/word/media/image1.png" ContentType="image/png"/>
  <Override PartName="/word/media/image5.png" ContentType="image/png"/>
  <Override PartName="/word/media/image2.png" ContentType="image/png"/>
  <Override PartName="/word/document.xml" ContentType="application/vnd.openxmlformats-officedocument.wordprocessingml.document.main+xml"/>
  <Override PartName="/word/numbering.xml" ContentType="application/vnd.openxmlformats-officedocument.wordprocessingml.numbering+xml"/>
  <Override PartName="/word/footer1.xml" ContentType="application/vnd.openxmlformats-officedocument.wordprocessingml.footer+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pageBreakBefore/>
        <w:jc w:val="center"/>
        <w:rPr>
          <w:rFonts w:ascii="Arial Black" w:hAnsi="Arial Black"/>
          <w:b/>
          <w:bCs/>
          <w:sz w:val="26"/>
          <w:szCs w:val="26"/>
          <w:u w:val="single"/>
        </w:rPr>
      </w:pPr>
      <w:r>
        <w:rPr>
          <w:rFonts w:ascii="Arial Black" w:hAnsi="Arial Black"/>
          <w:b/>
          <w:bCs/>
          <w:sz w:val="26"/>
          <w:szCs w:val="26"/>
          <w:u w:val="single"/>
        </w:rPr>
        <w:t>LES EXPLICATIONS PRINCIPALES DU CHÔMAGE</w:t>
      </w:r>
    </w:p>
    <w:p>
      <w:pPr>
        <w:pStyle w:val="style0"/>
        <w:rPr/>
      </w:pPr>
      <w:r>
        <w:rPr/>
      </w:r>
    </w:p>
    <w:p>
      <w:pPr>
        <w:pStyle w:val="style0"/>
        <w:jc w:val="center"/>
        <w:rPr>
          <w:rFonts w:ascii="Arial Black" w:hAnsi="Arial Black"/>
        </w:rPr>
      </w:pPr>
      <w:r>
        <w:rPr>
          <w:rFonts w:ascii="Arial Black" w:hAnsi="Arial Black"/>
        </w:rPr>
        <w:t>DOSSIER ELEVE</w:t>
      </w:r>
    </w:p>
    <w:p>
      <w:pPr>
        <w:pStyle w:val="style0"/>
        <w:jc w:val="center"/>
        <w:rPr>
          <w:rFonts w:ascii="Arial Black" w:hAnsi="Arial Black"/>
          <w:sz w:val="20"/>
          <w:szCs w:val="20"/>
        </w:rPr>
      </w:pPr>
      <w:r>
        <w:rPr>
          <w:rFonts w:ascii="Arial Black" w:hAnsi="Arial Black"/>
          <w:sz w:val="20"/>
          <w:szCs w:val="20"/>
        </w:rPr>
      </w:r>
    </w:p>
    <w:p>
      <w:pPr>
        <w:pStyle w:val="style0"/>
        <w:jc w:val="both"/>
        <w:rPr>
          <w:rFonts w:ascii="Arial Black" w:hAnsi="Arial Black"/>
          <w:b/>
          <w:bCs/>
          <w:u w:val="single"/>
        </w:rPr>
      </w:pPr>
      <w:r>
        <w:rPr>
          <w:rFonts w:ascii="Arial Black" w:hAnsi="Arial Black"/>
          <w:b/>
          <w:bCs/>
          <w:u w:val="single"/>
        </w:rPr>
        <w:t>Objectifs :</w:t>
      </w:r>
    </w:p>
    <w:p>
      <w:pPr>
        <w:pStyle w:val="style0"/>
        <w:numPr>
          <w:ilvl w:val="0"/>
          <w:numId w:val="1"/>
        </w:numPr>
        <w:jc w:val="both"/>
        <w:rPr/>
      </w:pPr>
      <w:r>
        <w:rPr/>
        <w:t>Comprendre la signification exacte de le notion de chômage,</w:t>
      </w:r>
    </w:p>
    <w:p>
      <w:pPr>
        <w:pStyle w:val="style0"/>
        <w:numPr>
          <w:ilvl w:val="0"/>
          <w:numId w:val="1"/>
        </w:numPr>
        <w:jc w:val="both"/>
        <w:rPr/>
      </w:pPr>
      <w:r>
        <w:rPr/>
        <w:t>Repérez les facteurs qui peuvent expliquer le chômage.</w:t>
      </w:r>
    </w:p>
    <w:p>
      <w:pPr>
        <w:pStyle w:val="style0"/>
        <w:numPr>
          <w:ilvl w:val="0"/>
          <w:numId w:val="1"/>
        </w:numPr>
        <w:jc w:val="both"/>
        <w:rPr/>
      </w:pPr>
      <w:r>
        <w:rPr/>
        <w:t>Observer des dessins de presse et proposer une interprétation,</w:t>
      </w:r>
    </w:p>
    <w:p>
      <w:pPr>
        <w:pStyle w:val="style0"/>
        <w:numPr>
          <w:ilvl w:val="0"/>
          <w:numId w:val="1"/>
        </w:numPr>
        <w:jc w:val="both"/>
        <w:rPr/>
      </w:pPr>
      <w:r>
        <w:rPr/>
        <w:t>Identifier les informations utiles dans un support vidéo pour répondre à des questions ciblées,</w:t>
      </w:r>
    </w:p>
    <w:p>
      <w:pPr>
        <w:pStyle w:val="style0"/>
        <w:numPr>
          <w:ilvl w:val="0"/>
          <w:numId w:val="1"/>
        </w:numPr>
        <w:jc w:val="both"/>
        <w:rPr/>
      </w:pPr>
      <w:r>
        <w:rPr/>
        <w:t xml:space="preserve">Analyser un ensemble documentaire (articles, tableaux, graphiques) pour formuler des arguments en lien avec un thème imposé. </w:t>
      </w:r>
    </w:p>
    <w:p>
      <w:pPr>
        <w:pStyle w:val="style0"/>
        <w:numPr>
          <w:ilvl w:val="0"/>
          <w:numId w:val="1"/>
        </w:numPr>
        <w:jc w:val="both"/>
        <w:rPr/>
      </w:pPr>
      <w:r>
        <w:rPr/>
        <w:t>Favoriser la discussion / le débat au sein d'un groupe et d'une classe.</w:t>
      </w:r>
    </w:p>
    <w:p>
      <w:pPr>
        <w:pStyle w:val="style0"/>
        <w:jc w:val="both"/>
        <w:rPr/>
      </w:pPr>
      <w:r>
        <w:rPr/>
      </w:r>
    </w:p>
    <w:p>
      <w:pPr>
        <w:pStyle w:val="style0"/>
        <w:rPr>
          <w:rFonts w:ascii="Arial Black" w:hAnsi="Arial Black"/>
          <w:b/>
          <w:bCs/>
          <w:u w:val="single"/>
        </w:rPr>
      </w:pPr>
      <w:r>
        <w:rPr>
          <w:rFonts w:ascii="Arial Black" w:hAnsi="Arial Black"/>
          <w:b/>
          <w:bCs/>
          <w:u w:val="single"/>
        </w:rPr>
        <w:t>Introduction :</w:t>
      </w:r>
    </w:p>
    <w:p>
      <w:pPr>
        <w:pStyle w:val="style0"/>
        <w:rPr>
          <w:b/>
          <w:bCs/>
        </w:rPr>
      </w:pPr>
      <w:r>
        <w:rPr>
          <w:b/>
          <w:bCs/>
        </w:rPr>
      </w:r>
    </w:p>
    <w:p>
      <w:pPr>
        <w:pStyle w:val="style0"/>
        <w:jc w:val="both"/>
        <w:rPr>
          <w:b/>
          <w:bCs/>
        </w:rPr>
      </w:pPr>
      <w:r>
        <w:rPr>
          <w:rFonts w:ascii="Wingdings" w:cs="Wingdings" w:eastAsia="Wingdings" w:hAnsi="Wingdings"/>
          <w:b w:val="false"/>
          <w:bCs w:val="false"/>
          <w:u w:val="none"/>
        </w:rPr>
        <w:t></w:t>
      </w:r>
      <w:r>
        <w:rPr>
          <w:b w:val="false"/>
          <w:bCs w:val="false"/>
          <w:u w:val="none"/>
        </w:rPr>
        <w:t xml:space="preserve"> </w:t>
      </w:r>
      <w:r>
        <w:rPr>
          <w:b/>
          <w:bCs/>
          <w:u w:val="single"/>
        </w:rPr>
        <w:t>1ère proposition</w:t>
      </w:r>
      <w:r>
        <w:rPr>
          <w:b w:val="false"/>
          <w:bCs w:val="false"/>
          <w:u w:val="none"/>
        </w:rPr>
        <w:t xml:space="preserve"> : </w:t>
      </w:r>
      <w:r>
        <w:rPr>
          <w:b/>
          <w:bCs/>
          <w:u w:val="single"/>
        </w:rPr>
        <w:t>Dessin de Plantu</w:t>
      </w:r>
      <w:r>
        <w:rPr>
          <w:b/>
          <w:bCs/>
        </w:rPr>
        <w:t xml:space="preserve"> publié dans Le Monde et repris dans le blog de Michel Abhervé pour Alternatives Économiques</w:t>
      </w:r>
    </w:p>
    <w:p>
      <w:pPr>
        <w:pStyle w:val="style0"/>
        <w:rPr>
          <w:rStyle w:val="style25"/>
          <w:b/>
          <w:bCs/>
          <w:sz w:val="22"/>
          <w:szCs w:val="22"/>
        </w:rPr>
      </w:pPr>
      <w:hyperlink r:id="rId2">
        <w:r>
          <w:rPr>
            <w:rStyle w:val="style25"/>
            <w:b/>
            <w:bCs/>
            <w:sz w:val="22"/>
            <w:szCs w:val="22"/>
          </w:rPr>
          <w:t>http://alternatives-economiques.fr/blogs/abherve/2015/06/24/inscriptions-a-pole-emploi-en-mai-le-doigt-mouille-pour-estimer-la-pythie-pour-interpreter/</w:t>
        </w:r>
      </w:hyperlink>
    </w:p>
    <w:p>
      <w:pPr>
        <w:pStyle w:val="style0"/>
        <w:rPr>
          <w:b/>
          <w:bCs/>
          <w:sz w:val="22"/>
          <w:szCs w:val="22"/>
        </w:rPr>
      </w:pPr>
      <w:r>
        <w:rPr>
          <w:b/>
          <w:bCs/>
          <w:sz w:val="22"/>
          <w:szCs w:val="22"/>
        </w:rPr>
      </w:r>
    </w:p>
    <w:p>
      <w:pPr>
        <w:pStyle w:val="style0"/>
        <w:rPr>
          <w:b/>
          <w:bCs/>
          <w:sz w:val="22"/>
          <w:szCs w:val="22"/>
        </w:rPr>
      </w:pPr>
      <w:r>
        <w:rPr>
          <w:b/>
          <w:bCs/>
          <w:sz w:val="22"/>
          <w:szCs w:val="22"/>
        </w:rPr>
        <w:drawing>
          <wp:anchor allowOverlap="1" behindDoc="0" distB="0" distL="0" distR="0" distT="0" layoutInCell="1" locked="0" relativeHeight="7" simplePos="0">
            <wp:simplePos x="0" y="0"/>
            <wp:positionH relativeFrom="column">
              <wp:posOffset>1210310</wp:posOffset>
            </wp:positionH>
            <wp:positionV relativeFrom="paragraph">
              <wp:posOffset>0</wp:posOffset>
            </wp:positionV>
            <wp:extent cx="4419600" cy="2828925"/>
            <wp:effectExtent b="0" l="0" r="0" t="0"/>
            <wp:wrapTopAndBottom/>
            <wp:docPr descr="" id="0" name="Pictur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title=""/>
                    <pic:cNvPicPr>
                      <a:picLocks noChangeArrowheads="1" noChangeAspect="1"/>
                    </pic:cNvPicPr>
                  </pic:nvPicPr>
                  <pic:blipFill>
                    <a:blip r:embed="rId3"/>
                    <a:srcRect/>
                    <a:stretch>
                      <a:fillRect/>
                    </a:stretch>
                  </pic:blipFill>
                  <pic:spPr bwMode="auto">
                    <a:xfrm>
                      <a:off x="0" y="0"/>
                      <a:ext cx="4419600" cy="2828925"/>
                    </a:xfrm>
                    <a:prstGeom prst="rect">
                      <a:avLst/>
                    </a:prstGeom>
                    <a:noFill/>
                    <a:ln w="9525">
                      <a:noFill/>
                      <a:miter lim="800000"/>
                      <a:headEnd/>
                      <a:tailEnd/>
                    </a:ln>
                  </pic:spPr>
                </pic:pic>
              </a:graphicData>
            </a:graphic>
          </wp:anchor>
        </w:drawing>
      </w:r>
    </w:p>
    <w:p>
      <w:pPr>
        <w:pStyle w:val="style0"/>
        <w:rPr>
          <w:b/>
          <w:bCs/>
          <w:sz w:val="22"/>
          <w:szCs w:val="22"/>
        </w:rPr>
      </w:pPr>
      <w:r>
        <w:rPr>
          <w:b/>
          <w:bCs/>
          <w:sz w:val="22"/>
          <w:szCs w:val="22"/>
        </w:rPr>
      </w:r>
    </w:p>
    <w:p>
      <w:pPr>
        <w:pStyle w:val="style0"/>
        <w:numPr>
          <w:ilvl w:val="0"/>
          <w:numId w:val="2"/>
        </w:numPr>
        <w:jc w:val="both"/>
        <w:rPr>
          <w:b/>
          <w:bCs/>
        </w:rPr>
      </w:pPr>
      <w:r>
        <w:rPr>
          <w:b/>
          <w:bCs/>
        </w:rPr>
        <w:t>Comment interprétez-vous ce dessin ?</w:t>
      </w:r>
    </w:p>
    <w:p>
      <w:pPr>
        <w:pStyle w:val="style0"/>
        <w:numPr>
          <w:ilvl w:val="0"/>
          <w:numId w:val="2"/>
        </w:numPr>
        <w:jc w:val="both"/>
        <w:rPr>
          <w:b/>
          <w:bCs/>
        </w:rPr>
      </w:pPr>
      <w:r>
        <w:rPr>
          <w:b/>
          <w:bCs/>
        </w:rPr>
        <w:t>Quel déséquilibre doit-on observer sur le marché du travail pour constater une situation de chômage ?</w:t>
      </w:r>
    </w:p>
    <w:p>
      <w:pPr>
        <w:pStyle w:val="style0"/>
        <w:jc w:val="both"/>
        <w:rPr>
          <w:b w:val="false"/>
          <w:bCs w:val="false"/>
        </w:rPr>
      </w:pPr>
      <w:r>
        <w:rPr>
          <w:b w:val="false"/>
          <w:bCs w:val="false"/>
        </w:rPr>
      </w:r>
    </w:p>
    <w:p>
      <w:pPr>
        <w:pStyle w:val="style0"/>
        <w:jc w:val="both"/>
        <w:rPr>
          <w:b/>
          <w:bCs/>
        </w:rPr>
      </w:pPr>
      <w:r>
        <w:rPr>
          <w:b/>
          <w:bCs/>
        </w:rPr>
      </w:r>
    </w:p>
    <w:p>
      <w:pPr>
        <w:pStyle w:val="style0"/>
        <w:jc w:val="both"/>
        <w:rPr>
          <w:b/>
          <w:bCs/>
        </w:rPr>
      </w:pPr>
      <w:r>
        <w:rPr>
          <w:b/>
          <w:bCs/>
        </w:rPr>
      </w:r>
    </w:p>
    <w:p>
      <w:pPr>
        <w:pStyle w:val="style0"/>
        <w:jc w:val="both"/>
        <w:rPr>
          <w:b/>
          <w:bCs/>
          <w:u w:val="single"/>
        </w:rPr>
      </w:pPr>
      <w:r>
        <w:rPr>
          <w:rFonts w:ascii="Wingdings" w:cs="Wingdings" w:eastAsia="Wingdings" w:hAnsi="Wingdings"/>
          <w:b w:val="false"/>
          <w:bCs w:val="false"/>
          <w:u w:val="none"/>
        </w:rPr>
        <w:t></w:t>
      </w:r>
      <w:r>
        <w:rPr>
          <w:b w:val="false"/>
          <w:bCs w:val="false"/>
          <w:u w:val="none"/>
        </w:rPr>
        <w:t xml:space="preserve"> </w:t>
      </w:r>
      <w:r>
        <w:rPr>
          <w:b/>
          <w:bCs/>
          <w:u w:val="single"/>
        </w:rPr>
        <w:t>2ème proposition : Extrait du film : « La loi du marché » de Stéphane Brizé. Les 4 premières minutes.</w:t>
      </w:r>
    </w:p>
    <w:p>
      <w:pPr>
        <w:pStyle w:val="style0"/>
        <w:numPr>
          <w:ilvl w:val="0"/>
          <w:numId w:val="3"/>
        </w:numPr>
        <w:jc w:val="both"/>
        <w:rPr>
          <w:b w:val="false"/>
          <w:bCs w:val="false"/>
          <w:u w:val="none"/>
        </w:rPr>
      </w:pPr>
      <w:r>
        <w:rPr>
          <w:b/>
          <w:bCs/>
          <w:u w:val="none"/>
        </w:rPr>
        <w:t>Où se situe la scène ? Qui sont les personnages ?</w:t>
      </w:r>
      <w:r>
        <w:rPr>
          <w:b w:val="false"/>
          <w:bCs w:val="false"/>
          <w:u w:val="none"/>
        </w:rPr>
        <w:t xml:space="preserve"> </w:t>
      </w:r>
    </w:p>
    <w:p>
      <w:pPr>
        <w:pStyle w:val="style0"/>
        <w:numPr>
          <w:ilvl w:val="0"/>
          <w:numId w:val="3"/>
        </w:numPr>
        <w:jc w:val="both"/>
        <w:rPr>
          <w:b/>
          <w:bCs/>
          <w:u w:val="none"/>
        </w:rPr>
      </w:pPr>
      <w:r>
        <w:rPr>
          <w:b/>
          <w:bCs/>
          <w:u w:val="none"/>
        </w:rPr>
        <w:t xml:space="preserve">Quel est le problème exposé dans cet extrait ? </w:t>
      </w:r>
    </w:p>
    <w:p>
      <w:pPr>
        <w:pStyle w:val="style0"/>
        <w:jc w:val="both"/>
        <w:rPr>
          <w:b w:val="false"/>
          <w:bCs w:val="false"/>
          <w:u w:val="none"/>
        </w:rPr>
      </w:pPr>
      <w:r>
        <w:rPr>
          <w:b w:val="false"/>
          <w:bCs w:val="false"/>
          <w:u w:val="none"/>
        </w:rPr>
      </w:r>
    </w:p>
    <w:p>
      <w:pPr>
        <w:pStyle w:val="style0"/>
        <w:jc w:val="both"/>
        <w:rPr>
          <w:b w:val="false"/>
          <w:bCs w:val="false"/>
          <w:u w:val="none"/>
        </w:rPr>
      </w:pPr>
      <w:r>
        <w:rPr>
          <w:b w:val="false"/>
          <w:bCs w:val="false"/>
          <w:u w:val="none"/>
        </w:rPr>
      </w:r>
    </w:p>
    <w:p>
      <w:pPr>
        <w:pStyle w:val="style0"/>
        <w:jc w:val="both"/>
        <w:rPr>
          <w:b w:val="false"/>
          <w:bCs w:val="false"/>
          <w:u w:val="none"/>
        </w:rPr>
      </w:pPr>
      <w:r>
        <w:rPr>
          <w:b w:val="false"/>
          <w:bCs w:val="false"/>
          <w:u w:val="none"/>
        </w:rPr>
      </w:r>
    </w:p>
    <w:p>
      <w:pPr>
        <w:pStyle w:val="style0"/>
        <w:jc w:val="both"/>
        <w:rPr>
          <w:b w:val="false"/>
          <w:bCs w:val="false"/>
          <w:u w:val="none"/>
        </w:rPr>
      </w:pPr>
      <w:r>
        <w:rPr>
          <w:b w:val="false"/>
          <w:bCs w:val="false"/>
          <w:u w:val="none"/>
        </w:rPr>
      </w:r>
    </w:p>
    <w:p>
      <w:pPr>
        <w:pStyle w:val="style0"/>
        <w:jc w:val="both"/>
        <w:rPr>
          <w:b w:val="false"/>
          <w:bCs w:val="false"/>
          <w:u w:val="none"/>
        </w:rPr>
      </w:pPr>
      <w:r>
        <w:rPr>
          <w:b w:val="false"/>
          <w:bCs w:val="false"/>
          <w:u w:val="none"/>
        </w:rPr>
      </w:r>
    </w:p>
    <w:p>
      <w:pPr>
        <w:pStyle w:val="style0"/>
        <w:jc w:val="both"/>
        <w:rPr>
          <w:b w:val="false"/>
          <w:bCs w:val="false"/>
          <w:u w:val="none"/>
        </w:rPr>
      </w:pPr>
      <w:r>
        <w:rPr>
          <w:b w:val="false"/>
          <w:bCs w:val="false"/>
          <w:u w:val="none"/>
        </w:rPr>
      </w:r>
    </w:p>
    <w:p>
      <w:pPr>
        <w:pStyle w:val="style0"/>
        <w:rPr>
          <w:rStyle w:val="style15"/>
          <w:rFonts w:ascii="Arial Black" w:hAnsi="Arial Black"/>
          <w:u w:val="single"/>
        </w:rPr>
      </w:pPr>
      <w:r>
        <w:rPr>
          <w:rStyle w:val="style15"/>
          <w:rFonts w:ascii="Arial Black" w:hAnsi="Arial Black"/>
          <w:u w:val="single"/>
        </w:rPr>
        <w:t>1ère partie : Comment définir et mesurer le chômage ?</w:t>
      </w:r>
    </w:p>
    <w:p>
      <w:pPr>
        <w:pStyle w:val="style0"/>
        <w:rPr/>
      </w:pPr>
      <w:r>
        <w:rPr/>
      </w:r>
    </w:p>
    <w:p>
      <w:pPr>
        <w:pStyle w:val="style0"/>
        <w:rPr>
          <w:b/>
          <w:bCs/>
          <w:sz w:val="20"/>
          <w:szCs w:val="20"/>
          <w:u w:val="single"/>
        </w:rPr>
      </w:pPr>
      <w:r>
        <w:rPr>
          <w:b/>
          <w:bCs/>
          <w:u w:val="single"/>
        </w:rPr>
        <w:t xml:space="preserve">Document 1 : Vidéo Dessine-moi l'éco : Comment mesure-t-on le chômage ? </w:t>
      </w:r>
      <w:r>
        <w:rPr>
          <w:b/>
          <w:bCs/>
          <w:sz w:val="20"/>
          <w:szCs w:val="20"/>
          <w:u w:val="single"/>
        </w:rPr>
        <w:t>Durée 3min20</w:t>
      </w:r>
    </w:p>
    <w:p>
      <w:pPr>
        <w:pStyle w:val="style0"/>
        <w:rPr>
          <w:rStyle w:val="style25"/>
        </w:rPr>
      </w:pPr>
      <w:hyperlink r:id="rId4">
        <w:r>
          <w:rPr>
            <w:rStyle w:val="style25"/>
          </w:rPr>
          <w:t>http://dessinemoileco.com/comment-mesure-t-on-le-chomage/</w:t>
        </w:r>
      </w:hyperlink>
    </w:p>
    <w:p>
      <w:pPr>
        <w:pStyle w:val="style0"/>
        <w:rPr/>
      </w:pPr>
      <w:r>
        <w:rPr/>
      </w:r>
    </w:p>
    <w:p>
      <w:pPr>
        <w:pStyle w:val="style0"/>
        <w:jc w:val="both"/>
        <w:rPr/>
      </w:pPr>
      <w:r>
        <w:rPr/>
        <w:t>A partir de la vidéo, répondez aux questions suivantes :</w:t>
      </w:r>
    </w:p>
    <w:p>
      <w:pPr>
        <w:pStyle w:val="style0"/>
        <w:jc w:val="both"/>
        <w:rPr/>
      </w:pPr>
      <w:r>
        <w:rPr/>
      </w:r>
    </w:p>
    <w:p>
      <w:pPr>
        <w:pStyle w:val="style0"/>
        <w:numPr>
          <w:ilvl w:val="0"/>
          <w:numId w:val="4"/>
        </w:numPr>
        <w:spacing w:line="100" w:lineRule="atLeast"/>
        <w:jc w:val="both"/>
        <w:rPr>
          <w:b/>
          <w:bCs/>
        </w:rPr>
      </w:pPr>
      <w:r>
        <w:rPr>
          <w:b/>
          <w:bCs/>
        </w:rPr>
        <w:t>Quels sont les 2 organismes qui déterminent le nombre de chômeurs en France ?</w:t>
      </w:r>
    </w:p>
    <w:p>
      <w:pPr>
        <w:pStyle w:val="style0"/>
        <w:spacing w:line="100" w:lineRule="atLeast"/>
        <w:jc w:val="both"/>
        <w:rPr/>
      </w:pPr>
      <w:r>
        <w:rPr/>
      </w:r>
    </w:p>
    <w:p>
      <w:pPr>
        <w:pStyle w:val="style0"/>
        <w:spacing w:line="100" w:lineRule="atLeast"/>
        <w:jc w:val="both"/>
        <w:rPr/>
      </w:pPr>
      <w:r>
        <w:rPr/>
      </w:r>
    </w:p>
    <w:p>
      <w:pPr>
        <w:pStyle w:val="style0"/>
        <w:numPr>
          <w:ilvl w:val="0"/>
          <w:numId w:val="4"/>
        </w:numPr>
        <w:spacing w:line="100" w:lineRule="atLeast"/>
        <w:jc w:val="both"/>
        <w:rPr>
          <w:b/>
          <w:bCs/>
        </w:rPr>
      </w:pPr>
      <w:r>
        <w:rPr>
          <w:b/>
          <w:bCs/>
        </w:rPr>
        <w:t>Quels sont les 3 critères pour définir une personne au chômage au sens du BIT (Bureau International du Travail) ?</w:t>
      </w:r>
    </w:p>
    <w:p>
      <w:pPr>
        <w:pStyle w:val="style0"/>
        <w:spacing w:line="100" w:lineRule="atLeast"/>
        <w:jc w:val="both"/>
        <w:rPr/>
      </w:pPr>
      <w:r>
        <w:rPr/>
      </w:r>
    </w:p>
    <w:p>
      <w:pPr>
        <w:pStyle w:val="style0"/>
        <w:spacing w:line="100" w:lineRule="atLeast"/>
        <w:jc w:val="both"/>
        <w:rPr/>
      </w:pPr>
      <w:r>
        <w:rPr/>
      </w:r>
    </w:p>
    <w:p>
      <w:pPr>
        <w:pStyle w:val="style0"/>
        <w:numPr>
          <w:ilvl w:val="0"/>
          <w:numId w:val="4"/>
        </w:numPr>
        <w:spacing w:line="100" w:lineRule="atLeast"/>
        <w:jc w:val="both"/>
        <w:rPr>
          <w:b/>
          <w:bCs/>
        </w:rPr>
      </w:pPr>
      <w:r>
        <w:rPr>
          <w:b/>
          <w:bCs/>
        </w:rPr>
        <w:t>Pourquoi un organisme international détermine-t-il la méthode de calcul du chômage ?</w:t>
      </w:r>
    </w:p>
    <w:p>
      <w:pPr>
        <w:pStyle w:val="style0"/>
        <w:spacing w:line="100" w:lineRule="atLeast"/>
        <w:jc w:val="both"/>
        <w:rPr/>
      </w:pPr>
      <w:r>
        <w:rPr/>
      </w:r>
    </w:p>
    <w:p>
      <w:pPr>
        <w:pStyle w:val="style0"/>
        <w:spacing w:line="100" w:lineRule="atLeast"/>
        <w:jc w:val="both"/>
        <w:rPr/>
      </w:pPr>
      <w:r>
        <w:rPr/>
      </w:r>
    </w:p>
    <w:p>
      <w:pPr>
        <w:pStyle w:val="style0"/>
        <w:numPr>
          <w:ilvl w:val="0"/>
          <w:numId w:val="4"/>
        </w:numPr>
        <w:spacing w:line="100" w:lineRule="atLeast"/>
        <w:jc w:val="both"/>
        <w:rPr>
          <w:b/>
          <w:bCs/>
        </w:rPr>
      </w:pPr>
      <w:r>
        <w:rPr>
          <w:b/>
          <w:bCs/>
        </w:rPr>
        <w:t>Quel organisme calcule le taux de chômage ?</w:t>
      </w:r>
    </w:p>
    <w:p>
      <w:pPr>
        <w:pStyle w:val="style0"/>
        <w:spacing w:line="100" w:lineRule="atLeast"/>
        <w:jc w:val="both"/>
        <w:rPr/>
      </w:pPr>
      <w:r>
        <w:rPr/>
      </w:r>
    </w:p>
    <w:p>
      <w:pPr>
        <w:pStyle w:val="style0"/>
        <w:spacing w:line="100" w:lineRule="atLeast"/>
        <w:jc w:val="both"/>
        <w:rPr/>
      </w:pPr>
      <w:r>
        <w:rPr/>
      </w:r>
    </w:p>
    <w:p>
      <w:pPr>
        <w:pStyle w:val="style0"/>
        <w:numPr>
          <w:ilvl w:val="0"/>
          <w:numId w:val="4"/>
        </w:numPr>
        <w:spacing w:line="100" w:lineRule="atLeast"/>
        <w:jc w:val="both"/>
        <w:rPr>
          <w:b/>
          <w:bCs/>
        </w:rPr>
      </w:pPr>
      <w:r>
        <w:rPr>
          <w:b/>
          <w:bCs/>
        </w:rPr>
        <w:t>Qu'est-ce que le « halo autour du chômage» ?</w:t>
      </w:r>
    </w:p>
    <w:p>
      <w:pPr>
        <w:pStyle w:val="style0"/>
        <w:spacing w:line="100" w:lineRule="atLeast"/>
        <w:jc w:val="both"/>
        <w:rPr/>
      </w:pPr>
      <w:r>
        <w:rPr/>
        <w:t xml:space="preserve"> </w:t>
      </w:r>
    </w:p>
    <w:p>
      <w:pPr>
        <w:pStyle w:val="style0"/>
        <w:spacing w:line="100" w:lineRule="atLeast"/>
        <w:rPr/>
      </w:pPr>
      <w:r>
        <w:rPr/>
      </w:r>
    </w:p>
    <w:p>
      <w:pPr>
        <w:pStyle w:val="style0"/>
        <w:spacing w:line="100" w:lineRule="atLeast"/>
        <w:rPr/>
      </w:pPr>
      <w:r>
        <w:rPr/>
      </w:r>
    </w:p>
    <w:p>
      <w:pPr>
        <w:pStyle w:val="style0"/>
        <w:spacing w:line="100" w:lineRule="atLeast"/>
        <w:rPr>
          <w:b/>
          <w:bCs/>
          <w:u w:val="single"/>
        </w:rPr>
      </w:pPr>
      <w:r>
        <w:rPr>
          <w:b/>
          <w:bCs/>
          <w:u w:val="single"/>
        </w:rPr>
        <w:t>Document 2 : Dessin de Deligne publié sur le site du journal La Croix.</w:t>
      </w:r>
    </w:p>
    <w:p>
      <w:pPr>
        <w:pStyle w:val="style0"/>
        <w:spacing w:line="100" w:lineRule="atLeast"/>
        <w:rPr>
          <w:b/>
          <w:bCs/>
          <w:u w:val="single"/>
        </w:rPr>
      </w:pPr>
      <w:r>
        <w:rPr>
          <w:b/>
          <w:bCs/>
          <w:u w:val="single"/>
        </w:rPr>
      </w:r>
    </w:p>
    <w:tbl>
      <w:tblPr>
        <w:tblW w:type="dxa" w:w="10772"/>
        <w:jc w:val="start"/>
        <w:tblInd w:type="dxa" w:w="55"/>
        <w:tblBorders>
          <w:top w:val="nil"/>
          <w:start w:val="nil"/>
          <w:bottom w:val="nil"/>
          <w:insideH w:val="nil"/>
          <w:end w:val="nil"/>
          <w:insideV w:val="nil"/>
        </w:tblBorders>
        <w:tblCellMar>
          <w:top w:type="dxa" w:w="55"/>
          <w:start w:type="dxa" w:w="55"/>
          <w:bottom w:type="dxa" w:w="55"/>
          <w:end w:type="dxa" w:w="55"/>
        </w:tblCellMar>
      </w:tblPr>
      <w:tblGrid>
        <w:gridCol w:w="4799"/>
        <w:gridCol w:w="5973"/>
      </w:tblGrid>
      <w:tr>
        <w:trPr>
          <w:cantSplit w:val="false"/>
        </w:trPr>
        <w:tc>
          <w:tcPr>
            <w:tcW w:type="dxa" w:w="4799"/>
            <w:tcBorders>
              <w:top w:val="nil"/>
              <w:start w:val="nil"/>
              <w:bottom w:val="nil"/>
              <w:end w:val="nil"/>
            </w:tcBorders>
            <w:shd w:fill="auto" w:val="clear"/>
          </w:tcPr>
          <w:p>
            <w:pPr>
              <w:pStyle w:val="style35"/>
              <w:rPr>
                <w:sz w:val="16"/>
                <w:szCs w:val="16"/>
              </w:rPr>
            </w:pPr>
            <w:r>
              <w:rPr>
                <w:sz w:val="16"/>
                <w:szCs w:val="16"/>
              </w:rPr>
              <w:drawing>
                <wp:anchor allowOverlap="1" behindDoc="0" distB="0" distL="0" distR="0" distT="0" layoutInCell="1" locked="0" relativeHeight="0" simplePos="0">
                  <wp:simplePos x="0" y="0"/>
                  <wp:positionH relativeFrom="column">
                    <wp:posOffset>247650</wp:posOffset>
                  </wp:positionH>
                  <wp:positionV relativeFrom="paragraph">
                    <wp:posOffset>0</wp:posOffset>
                  </wp:positionV>
                  <wp:extent cx="2481580" cy="2051050"/>
                  <wp:effectExtent b="0" l="0" r="0" t="0"/>
                  <wp:wrapTopAndBottom/>
                  <wp:docPr descr="" id="1" name="Pictur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 name="Picture" title=""/>
                          <pic:cNvPicPr>
                            <a:picLocks noChangeArrowheads="1" noChangeAspect="1"/>
                          </pic:cNvPicPr>
                        </pic:nvPicPr>
                        <pic:blipFill>
                          <a:blip r:embed="rId5"/>
                          <a:srcRect/>
                          <a:stretch>
                            <a:fillRect/>
                          </a:stretch>
                        </pic:blipFill>
                        <pic:spPr bwMode="auto">
                          <a:xfrm>
                            <a:off x="0" y="0"/>
                            <a:ext cx="2481580" cy="2051050"/>
                          </a:xfrm>
                          <a:prstGeom prst="rect">
                            <a:avLst/>
                          </a:prstGeom>
                          <a:noFill/>
                          <a:ln w="9525">
                            <a:noFill/>
                            <a:miter lim="800000"/>
                            <a:headEnd/>
                            <a:tailEnd/>
                          </a:ln>
                        </pic:spPr>
                      </pic:pic>
                    </a:graphicData>
                  </a:graphic>
                </wp:anchor>
              </w:drawing>
            </w:r>
          </w:p>
        </w:tc>
        <w:tc>
          <w:tcPr>
            <w:tcW w:type="dxa" w:w="5973"/>
            <w:tcBorders>
              <w:top w:val="nil"/>
              <w:start w:val="nil"/>
              <w:bottom w:val="nil"/>
              <w:end w:val="nil"/>
            </w:tcBorders>
            <w:shd w:fill="auto" w:val="clear"/>
          </w:tcPr>
          <w:p>
            <w:pPr>
              <w:pStyle w:val="style35"/>
              <w:jc w:val="both"/>
              <w:rPr>
                <w:b/>
                <w:bCs/>
              </w:rPr>
            </w:pPr>
            <w:r>
              <w:rPr/>
              <w:t xml:space="preserve">6) </w:t>
            </w:r>
            <w:r>
              <w:rPr>
                <w:b/>
                <w:bCs/>
              </w:rPr>
              <w:t>Quelle catégorie de chômeurs le dessin illustre-t-il ?</w:t>
            </w:r>
          </w:p>
          <w:p>
            <w:pPr>
              <w:pStyle w:val="style35"/>
              <w:jc w:val="both"/>
              <w:rPr/>
            </w:pPr>
            <w:r>
              <w:rPr/>
            </w:r>
          </w:p>
          <w:p>
            <w:pPr>
              <w:pStyle w:val="style35"/>
              <w:jc w:val="both"/>
              <w:rPr/>
            </w:pPr>
            <w:r>
              <w:rPr/>
            </w:r>
          </w:p>
          <w:p>
            <w:pPr>
              <w:pStyle w:val="style35"/>
              <w:jc w:val="both"/>
              <w:rPr/>
            </w:pPr>
            <w:r>
              <w:rPr/>
            </w:r>
          </w:p>
          <w:p>
            <w:pPr>
              <w:pStyle w:val="style35"/>
              <w:jc w:val="both"/>
              <w:rPr>
                <w:b/>
                <w:bCs/>
              </w:rPr>
            </w:pPr>
            <w:r>
              <w:rPr/>
              <w:t xml:space="preserve">7) </w:t>
            </w:r>
            <w:r>
              <w:rPr>
                <w:b/>
                <w:bCs/>
              </w:rPr>
              <w:t>Proposez d'autres situations dans lesquelles une personne peut être confrontée au chômage.</w:t>
            </w:r>
          </w:p>
          <w:p>
            <w:pPr>
              <w:pStyle w:val="style35"/>
              <w:jc w:val="both"/>
              <w:rPr/>
            </w:pPr>
            <w:r>
              <w:rPr/>
            </w:r>
          </w:p>
        </w:tc>
      </w:tr>
    </w:tbl>
    <w:p>
      <w:pPr>
        <w:pStyle w:val="style0"/>
        <w:spacing w:line="360" w:lineRule="auto"/>
        <w:rPr/>
      </w:pPr>
      <w:r>
        <w:rPr/>
      </w:r>
    </w:p>
    <w:p>
      <w:pPr>
        <w:pStyle w:val="style0"/>
        <w:spacing w:line="360" w:lineRule="auto"/>
        <w:rPr/>
      </w:pPr>
      <w:r>
        <w:rPr/>
      </w:r>
    </w:p>
    <w:p>
      <w:pPr>
        <w:pStyle w:val="style0"/>
        <w:rPr>
          <w:rStyle w:val="style15"/>
          <w:rFonts w:ascii="Arial Black" w:hAnsi="Arial Black"/>
          <w:b/>
          <w:bCs/>
          <w:u w:val="single"/>
        </w:rPr>
      </w:pPr>
      <w:r>
        <w:rPr>
          <w:rStyle w:val="style15"/>
          <w:rFonts w:ascii="Arial Black" w:hAnsi="Arial Black"/>
          <w:b/>
          <w:bCs/>
          <w:u w:val="single"/>
        </w:rPr>
        <w:t>2ème partie : Quelles peuvent être les causes du chômage ?</w:t>
      </w:r>
    </w:p>
    <w:p>
      <w:pPr>
        <w:pStyle w:val="style0"/>
        <w:rPr>
          <w:b/>
          <w:bCs/>
          <w:u w:val="single"/>
        </w:rPr>
      </w:pPr>
      <w:r>
        <w:rPr>
          <w:b/>
          <w:bCs/>
          <w:u w:val="single"/>
        </w:rPr>
      </w:r>
    </w:p>
    <w:p>
      <w:pPr>
        <w:pStyle w:val="style0"/>
        <w:jc w:val="both"/>
        <w:rPr>
          <w:b/>
          <w:bCs/>
          <w:u w:val="none"/>
        </w:rPr>
      </w:pPr>
      <w:r>
        <w:rPr>
          <w:b/>
          <w:bCs/>
          <w:u w:val="none"/>
        </w:rPr>
        <w:t>Membre d'un groupe de réflexion économique rattaché à une institution, vous allez participer prochainement à un séminaire sur le thème du chômage. Votre intervention doit permettre d'expliquer au public les causes du chômage et de proposer une ou plusieurs solutions que les collectivités locales ou le gouvernement pourront mettre en œuvre.</w:t>
      </w:r>
    </w:p>
    <w:p>
      <w:pPr>
        <w:pStyle w:val="style0"/>
        <w:jc w:val="both"/>
        <w:rPr>
          <w:b/>
          <w:bCs/>
          <w:u w:val="none"/>
        </w:rPr>
      </w:pPr>
      <w:r>
        <w:rPr>
          <w:b/>
          <w:bCs/>
          <w:u w:val="none"/>
        </w:rPr>
      </w:r>
    </w:p>
    <w:p>
      <w:pPr>
        <w:pStyle w:val="style0"/>
        <w:jc w:val="both"/>
        <w:rPr>
          <w:b/>
          <w:bCs/>
          <w:u w:val="none"/>
        </w:rPr>
      </w:pPr>
      <w:r>
        <w:rPr>
          <w:b/>
          <w:bCs/>
          <w:u w:val="none"/>
        </w:rPr>
        <w:t>Pour préparer votre intervention, vous vous appuierez sur les documents proposés. Vos idées seront organisées dans un schéma détaillé, un tableau ou un paragraphe rédigé. Un porte-parole sera désigné pour rendre compte de votre réflexion lors du séminaire.</w:t>
      </w:r>
    </w:p>
    <w:p>
      <w:pPr>
        <w:pStyle w:val="style0"/>
        <w:jc w:val="both"/>
        <w:rPr>
          <w:b/>
          <w:bCs/>
          <w:u w:val="none"/>
        </w:rPr>
      </w:pPr>
      <w:r>
        <w:rPr>
          <w:b/>
          <w:bCs/>
          <w:u w:val="none"/>
        </w:rPr>
      </w:r>
    </w:p>
    <w:p>
      <w:pPr>
        <w:pStyle w:val="style0"/>
        <w:jc w:val="both"/>
        <w:rPr>
          <w:b w:val="false"/>
          <w:bCs w:val="false"/>
          <w:i w:val="false"/>
          <w:iCs w:val="false"/>
          <w:color w:val="auto"/>
          <w:sz w:val="22"/>
          <w:szCs w:val="22"/>
          <w:u w:val="none"/>
        </w:rPr>
      </w:pPr>
      <w:r>
        <w:rPr>
          <w:b w:val="false"/>
          <w:bCs w:val="false"/>
          <w:i w:val="false"/>
          <w:iCs w:val="false"/>
          <w:color w:val="auto"/>
          <w:sz w:val="22"/>
          <w:szCs w:val="22"/>
          <w:u w:val="none"/>
        </w:rPr>
      </w:r>
    </w:p>
    <w:p>
      <w:pPr>
        <w:pStyle w:val="style0"/>
        <w:jc w:val="center"/>
        <w:rPr>
          <w:rFonts w:ascii="Arial Black" w:hAnsi="Arial Black"/>
          <w:b/>
          <w:bCs/>
          <w:u w:val="single"/>
        </w:rPr>
      </w:pPr>
      <w:r>
        <w:rPr>
          <w:rFonts w:ascii="Arial Black" w:hAnsi="Arial Black"/>
          <w:b/>
          <w:bCs/>
          <w:u w:val="single"/>
        </w:rPr>
        <w:t xml:space="preserve">Groupe 1 : Les économistes de Pôle Emploi </w:t>
      </w:r>
    </w:p>
    <w:p>
      <w:pPr>
        <w:pStyle w:val="style0"/>
        <w:rPr>
          <w:b w:val="false"/>
          <w:bCs w:val="false"/>
          <w:sz w:val="21"/>
          <w:szCs w:val="21"/>
          <w:u w:val="none"/>
        </w:rPr>
      </w:pPr>
      <w:r>
        <w:rPr>
          <w:b w:val="false"/>
          <w:bCs w:val="false"/>
          <w:sz w:val="21"/>
          <w:szCs w:val="21"/>
          <w:u w:val="none"/>
        </w:rPr>
      </w:r>
    </w:p>
    <w:p>
      <w:pPr>
        <w:pStyle w:val="style0"/>
        <w:rPr>
          <w:b/>
          <w:bCs/>
          <w:sz w:val="22"/>
          <w:szCs w:val="22"/>
          <w:u w:val="single"/>
        </w:rPr>
      </w:pPr>
      <w:r>
        <w:rPr>
          <w:b/>
          <w:bCs/>
          <w:sz w:val="22"/>
          <w:szCs w:val="22"/>
          <w:u w:val="single"/>
        </w:rPr>
        <w:t>Document A : Enquête Pôle Emploi « Besoins en main d’œuvre des entreprises 2016 »</w:t>
      </w:r>
    </w:p>
    <w:p>
      <w:pPr>
        <w:pStyle w:val="style0"/>
        <w:jc w:val="both"/>
        <w:rPr>
          <w:rFonts w:cs="Arial" w:eastAsia="Arial"/>
          <w:b w:val="false"/>
          <w:bCs w:val="false"/>
          <w:sz w:val="22"/>
          <w:szCs w:val="22"/>
          <w:shd w:fill="auto" w:val="clear"/>
        </w:rPr>
      </w:pPr>
      <w:r>
        <w:rPr>
          <w:rFonts w:cs="Arial" w:eastAsia="Arial"/>
          <w:b w:val="false"/>
          <w:bCs w:val="false"/>
          <w:sz w:val="22"/>
          <w:szCs w:val="22"/>
          <w:u w:val="none"/>
        </w:rPr>
        <w:t xml:space="preserve">Après une hausse de 2,3% en 2015, l’enquête sur « les Besoins en Main-d’œuvre des entreprises » pour </w:t>
      </w:r>
      <w:r>
        <w:rPr>
          <w:rFonts w:cs="Arial" w:eastAsia="Arial"/>
          <w:b w:val="false"/>
          <w:bCs w:val="false"/>
          <w:sz w:val="22"/>
          <w:szCs w:val="22"/>
        </w:rPr>
        <w:t xml:space="preserve">l’année 2016 fait </w:t>
      </w:r>
      <w:r>
        <w:rPr>
          <w:rFonts w:cs="Arial" w:eastAsia="Arial"/>
          <w:b w:val="false"/>
          <w:bCs w:val="false"/>
          <w:sz w:val="22"/>
          <w:szCs w:val="22"/>
          <w:shd w:fill="auto" w:val="clear"/>
        </w:rPr>
        <w:t>état d’une nouvelle hausse de 5,1% du nombre de projets de recrutement (+ 88 000 projets de recrutement) dans les 405 bassins d’emploi français (Métropole et DOM) et les 24 secteurs d’activité de l’enquête, soit le plus haut niveau observé au cours des sept dernières vagues de l’enquête. [...]</w:t>
      </w:r>
    </w:p>
    <w:p>
      <w:pPr>
        <w:pStyle w:val="style0"/>
        <w:autoSpaceDE w:val="false"/>
        <w:jc w:val="start"/>
        <w:rPr>
          <w:rFonts w:cs="Arial" w:eastAsia="Arial"/>
          <w:b w:val="false"/>
          <w:bCs w:val="false"/>
          <w:sz w:val="14"/>
          <w:szCs w:val="14"/>
          <w:shd w:fill="auto" w:val="clear"/>
        </w:rPr>
      </w:pPr>
      <w:r>
        <w:rPr>
          <w:rFonts w:cs="Arial" w:eastAsia="Arial"/>
          <w:b w:val="false"/>
          <w:bCs w:val="false"/>
          <w:sz w:val="14"/>
          <w:szCs w:val="14"/>
          <w:shd w:fill="auto" w:val="clear"/>
        </w:rPr>
      </w:r>
    </w:p>
    <w:p>
      <w:pPr>
        <w:pStyle w:val="style0"/>
        <w:autoSpaceDE w:val="false"/>
        <w:jc w:val="start"/>
        <w:rPr>
          <w:rFonts w:cs="Arial" w:eastAsia="Arial"/>
          <w:b w:val="false"/>
          <w:bCs w:val="false"/>
          <w:sz w:val="22"/>
          <w:szCs w:val="22"/>
          <w:shd w:fill="auto" w:val="clear"/>
        </w:rPr>
      </w:pPr>
      <w:r>
        <w:rPr>
          <w:rFonts w:cs="Arial" w:eastAsia="Arial"/>
          <w:b w:val="false"/>
          <w:bCs w:val="false"/>
          <w:sz w:val="22"/>
          <w:szCs w:val="22"/>
          <w:shd w:fill="auto" w:val="clear"/>
        </w:rPr>
        <w:t>Les services accélèrent encore, la construction se redresse nettement :</w:t>
      </w:r>
    </w:p>
    <w:p>
      <w:pPr>
        <w:pStyle w:val="style0"/>
        <w:numPr>
          <w:ilvl w:val="0"/>
          <w:numId w:val="5"/>
        </w:numPr>
        <w:autoSpaceDE w:val="false"/>
        <w:jc w:val="both"/>
        <w:rPr>
          <w:rFonts w:cs="Arial" w:eastAsia="Arial"/>
          <w:b w:val="false"/>
          <w:bCs w:val="false"/>
          <w:sz w:val="22"/>
          <w:szCs w:val="22"/>
          <w:shd w:fill="auto" w:val="clear"/>
        </w:rPr>
      </w:pPr>
      <w:r>
        <w:rPr>
          <w:rFonts w:cs="Arial" w:eastAsia="Arial"/>
          <w:b w:val="false"/>
          <w:bCs w:val="false"/>
          <w:sz w:val="22"/>
          <w:szCs w:val="22"/>
          <w:shd w:fill="auto" w:val="clear"/>
        </w:rPr>
        <w:t>les services – qui représentent plus des deux tiers (65%) des besoins en main d’œuvre en France en 2016 – progressent encore cette année plus vite que la moyenne (+5,8% en 2016 contre +5,1% pour l’ensemble des secteurs)</w:t>
      </w:r>
      <w:r>
        <w:rPr>
          <w:rFonts w:cs="Symbol" w:eastAsia="Symbol"/>
          <w:b w:val="false"/>
          <w:bCs w:val="false"/>
          <w:sz w:val="22"/>
          <w:szCs w:val="22"/>
          <w:shd w:fill="auto" w:val="clear"/>
        </w:rPr>
        <w:t>. L</w:t>
      </w:r>
      <w:r>
        <w:rPr>
          <w:rFonts w:cs="Arial" w:eastAsia="Arial"/>
          <w:b w:val="false"/>
          <w:bCs w:val="false"/>
          <w:sz w:val="22"/>
          <w:szCs w:val="22"/>
          <w:shd w:fill="auto" w:val="clear"/>
        </w:rPr>
        <w:t>es services aux particuliers demeurent le premier pôle recruteur en France (41 % des projets en 2016). Ses besoins de main d’œuvre progressent de 4,5% en 2016. Dans les services aux entreprises - un quart des intentions de recrutement en France – la progression est nette en 2016 (+8,0 %).</w:t>
      </w:r>
    </w:p>
    <w:p>
      <w:pPr>
        <w:pStyle w:val="style0"/>
        <w:numPr>
          <w:ilvl w:val="0"/>
          <w:numId w:val="6"/>
        </w:numPr>
        <w:autoSpaceDE w:val="false"/>
        <w:jc w:val="both"/>
        <w:rPr>
          <w:rFonts w:cs="Arial" w:eastAsia="Arial"/>
          <w:b w:val="false"/>
          <w:bCs w:val="false"/>
          <w:sz w:val="22"/>
          <w:szCs w:val="22"/>
          <w:shd w:fill="auto" w:val="clear"/>
        </w:rPr>
      </w:pPr>
      <w:r>
        <w:rPr>
          <w:rFonts w:cs="Arial" w:eastAsia="Arial"/>
          <w:b w:val="false"/>
          <w:bCs w:val="false"/>
          <w:sz w:val="22"/>
          <w:szCs w:val="22"/>
          <w:shd w:fill="auto" w:val="clear"/>
        </w:rPr>
        <w:t>la construction voit ses intentions d’embauche progresser nettement (+12,4%), après la forte baisse subie en 2015 (-16,6%).</w:t>
      </w:r>
    </w:p>
    <w:p>
      <w:pPr>
        <w:pStyle w:val="style0"/>
        <w:rPr>
          <w:rFonts w:cs="Arial" w:eastAsia="Arial"/>
          <w:b w:val="false"/>
          <w:bCs w:val="false"/>
          <w:sz w:val="14"/>
          <w:szCs w:val="14"/>
          <w:u w:val="none"/>
          <w:shd w:fill="auto" w:val="clear"/>
        </w:rPr>
      </w:pPr>
      <w:r>
        <w:rPr>
          <w:rFonts w:cs="Arial" w:eastAsia="Arial"/>
          <w:b w:val="false"/>
          <w:bCs w:val="false"/>
          <w:sz w:val="14"/>
          <w:szCs w:val="14"/>
          <w:u w:val="none"/>
          <w:shd w:fill="auto" w:val="clear"/>
        </w:rPr>
      </w:r>
    </w:p>
    <w:p>
      <w:pPr>
        <w:pStyle w:val="style0"/>
        <w:rPr>
          <w:rFonts w:cs="Arial" w:eastAsia="Arial"/>
          <w:sz w:val="22"/>
          <w:szCs w:val="22"/>
          <w:shd w:fill="auto" w:val="clear"/>
        </w:rPr>
      </w:pPr>
      <w:r>
        <w:rPr>
          <w:rFonts w:cs="Arial" w:eastAsia="Arial"/>
          <w:b w:val="false"/>
          <w:bCs w:val="false"/>
          <w:sz w:val="22"/>
          <w:szCs w:val="22"/>
          <w:u w:val="none"/>
          <w:shd w:fill="auto" w:val="clear"/>
        </w:rPr>
        <w:t xml:space="preserve">La part des projets [ de recrutement ]difficiles se stabilise à 32,4%, après trois années consécutives de baisse (de 10 points </w:t>
      </w:r>
      <w:r>
        <w:rPr>
          <w:rFonts w:cs="Arial" w:eastAsia="Arial"/>
          <w:sz w:val="22"/>
          <w:szCs w:val="22"/>
          <w:shd w:fill="auto" w:val="clear"/>
        </w:rPr>
        <w:t>entre 2012 et 2015). Les difficultés restent plus importantes dans les petites structures. Selon les employeurs, ces difficultés sont le plus souvent liées à la pénurie de candidat, à l’inadéquation des profils, ou aux conditions de travail. Dans tous les cas, la formation est la solution la plus souvent envisagée pour y répondre.</w:t>
      </w:r>
    </w:p>
    <w:tbl>
      <w:tblPr>
        <w:tblW w:type="dxa" w:w="10772"/>
        <w:jc w:val="start"/>
        <w:tblInd w:type="dxa" w:w="55"/>
        <w:tblBorders>
          <w:top w:val="nil"/>
          <w:start w:val="nil"/>
          <w:bottom w:val="nil"/>
          <w:insideH w:val="nil"/>
          <w:end w:val="nil"/>
          <w:insideV w:val="nil"/>
        </w:tblBorders>
        <w:tblCellMar>
          <w:top w:type="dxa" w:w="55"/>
          <w:start w:type="dxa" w:w="55"/>
          <w:bottom w:type="dxa" w:w="55"/>
          <w:end w:type="dxa" w:w="55"/>
        </w:tblCellMar>
      </w:tblPr>
      <w:tblGrid>
        <w:gridCol w:w="5385"/>
        <w:gridCol w:w="5387"/>
      </w:tblGrid>
      <w:tr>
        <w:trPr>
          <w:cantSplit w:val="false"/>
        </w:trPr>
        <w:tc>
          <w:tcPr>
            <w:tcW w:type="dxa" w:w="5385"/>
            <w:tcBorders>
              <w:top w:val="nil"/>
              <w:start w:val="nil"/>
              <w:bottom w:val="nil"/>
              <w:end w:val="nil"/>
            </w:tcBorders>
            <w:shd w:fill="auto" w:val="clear"/>
          </w:tcPr>
          <w:p>
            <w:pPr>
              <w:pStyle w:val="style35"/>
              <w:jc w:val="center"/>
              <w:rPr>
                <w:b/>
                <w:bCs/>
                <w:sz w:val="22"/>
                <w:szCs w:val="22"/>
                <w:u w:val="single"/>
                <w:shd w:fill="auto" w:val="clear"/>
              </w:rPr>
            </w:pPr>
            <w:r>
              <w:rPr>
                <w:b/>
                <w:bCs/>
                <w:sz w:val="22"/>
                <w:szCs w:val="22"/>
                <w:u w:val="single"/>
                <w:shd w:fill="auto" w:val="clear"/>
              </w:rPr>
            </w:r>
          </w:p>
          <w:p>
            <w:pPr>
              <w:pStyle w:val="style35"/>
              <w:jc w:val="center"/>
              <w:rPr>
                <w:b/>
                <w:bCs/>
                <w:sz w:val="22"/>
                <w:szCs w:val="22"/>
                <w:u w:val="single"/>
                <w:shd w:fill="auto" w:val="clear"/>
              </w:rPr>
            </w:pPr>
            <w:r>
              <w:rPr>
                <w:b/>
                <w:bCs/>
                <w:sz w:val="22"/>
                <w:szCs w:val="22"/>
                <w:u w:val="single"/>
                <w:shd w:fill="auto" w:val="clear"/>
              </w:rPr>
              <w:t>Les métiers les plus recherchés</w:t>
            </w:r>
          </w:p>
          <w:p>
            <w:pPr>
              <w:pStyle w:val="style35"/>
              <w:jc w:val="center"/>
              <w:rPr>
                <w:b/>
                <w:bCs/>
                <w:sz w:val="16"/>
                <w:szCs w:val="16"/>
                <w:u w:val="single"/>
                <w:shd w:fill="auto" w:val="clear"/>
              </w:rPr>
            </w:pPr>
            <w:r>
              <w:rPr>
                <w:b/>
                <w:bCs/>
                <w:sz w:val="16"/>
                <w:szCs w:val="16"/>
                <w:u w:val="single"/>
                <w:shd w:fill="auto" w:val="clear"/>
              </w:rPr>
            </w:r>
          </w:p>
          <w:p>
            <w:pPr>
              <w:pStyle w:val="style35"/>
              <w:rPr>
                <w:shd w:fill="auto" w:val="clear"/>
              </w:rPr>
            </w:pPr>
            <w:r>
              <w:rPr>
                <w:shd w:fill="auto" w:val="clear"/>
              </w:rPr>
              <w:drawing>
                <wp:anchor allowOverlap="1" behindDoc="0" distB="0" distL="0" distR="0" distT="0" layoutInCell="1" locked="0" relativeHeight="1" simplePos="0">
                  <wp:simplePos x="0" y="0"/>
                  <wp:positionH relativeFrom="column">
                    <wp:posOffset>438150</wp:posOffset>
                  </wp:positionH>
                  <wp:positionV relativeFrom="paragraph">
                    <wp:posOffset>0</wp:posOffset>
                  </wp:positionV>
                  <wp:extent cx="2472690" cy="2133600"/>
                  <wp:effectExtent b="0" l="0" r="0" t="0"/>
                  <wp:wrapTopAndBottom/>
                  <wp:docPr descr="" id="2" name="Pictur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 name="Picture" title=""/>
                          <pic:cNvPicPr>
                            <a:picLocks noChangeArrowheads="1" noChangeAspect="1"/>
                          </pic:cNvPicPr>
                        </pic:nvPicPr>
                        <pic:blipFill>
                          <a:blip r:embed="rId6"/>
                          <a:srcRect/>
                          <a:stretch>
                            <a:fillRect/>
                          </a:stretch>
                        </pic:blipFill>
                        <pic:spPr bwMode="auto">
                          <a:xfrm>
                            <a:off x="0" y="0"/>
                            <a:ext cx="2472690" cy="2133600"/>
                          </a:xfrm>
                          <a:prstGeom prst="rect">
                            <a:avLst/>
                          </a:prstGeom>
                          <a:noFill/>
                          <a:ln w="9525">
                            <a:noFill/>
                            <a:miter lim="800000"/>
                            <a:headEnd/>
                            <a:tailEnd/>
                          </a:ln>
                        </pic:spPr>
                      </pic:pic>
                    </a:graphicData>
                  </a:graphic>
                </wp:anchor>
              </w:drawing>
            </w:r>
          </w:p>
        </w:tc>
        <w:tc>
          <w:tcPr>
            <w:tcW w:type="dxa" w:w="5387"/>
            <w:tcBorders>
              <w:top w:val="nil"/>
              <w:start w:val="nil"/>
              <w:bottom w:val="nil"/>
              <w:end w:val="nil"/>
            </w:tcBorders>
            <w:shd w:fill="auto" w:val="clear"/>
          </w:tcPr>
          <w:p>
            <w:pPr>
              <w:pStyle w:val="style35"/>
              <w:jc w:val="center"/>
              <w:rPr>
                <w:b/>
                <w:bCs/>
                <w:sz w:val="22"/>
                <w:szCs w:val="22"/>
                <w:u w:val="single"/>
                <w:shd w:fill="auto" w:val="clear"/>
              </w:rPr>
            </w:pPr>
            <w:r>
              <w:rPr>
                <w:b/>
                <w:bCs/>
                <w:sz w:val="22"/>
                <w:szCs w:val="22"/>
                <w:u w:val="single"/>
                <w:shd w:fill="auto" w:val="clear"/>
              </w:rPr>
            </w:r>
          </w:p>
          <w:p>
            <w:pPr>
              <w:pStyle w:val="style35"/>
              <w:jc w:val="center"/>
              <w:rPr>
                <w:b/>
                <w:bCs/>
                <w:sz w:val="22"/>
                <w:szCs w:val="22"/>
                <w:u w:val="single"/>
                <w:shd w:fill="auto" w:val="clear"/>
              </w:rPr>
            </w:pPr>
            <w:r>
              <w:rPr>
                <w:b/>
                <w:bCs/>
                <w:sz w:val="22"/>
                <w:szCs w:val="22"/>
                <w:u w:val="single"/>
                <w:shd w:fill="auto" w:val="clear"/>
              </w:rPr>
              <w:t>Les difficultés de recrutement</w:t>
            </w:r>
          </w:p>
          <w:p>
            <w:pPr>
              <w:pStyle w:val="style35"/>
              <w:rPr>
                <w:sz w:val="16"/>
                <w:szCs w:val="16"/>
                <w:shd w:fill="auto" w:val="clear"/>
              </w:rPr>
            </w:pPr>
            <w:r>
              <w:rPr>
                <w:sz w:val="16"/>
                <w:szCs w:val="16"/>
                <w:shd w:fill="auto" w:val="clear"/>
              </w:rPr>
            </w:r>
          </w:p>
          <w:p>
            <w:pPr>
              <w:pStyle w:val="style35"/>
              <w:rPr>
                <w:shd w:fill="auto" w:val="clear"/>
              </w:rPr>
            </w:pPr>
            <w:r>
              <w:rPr>
                <w:shd w:fill="auto" w:val="clear"/>
              </w:rPr>
              <w:drawing>
                <wp:anchor allowOverlap="1" behindDoc="0" distB="0" distL="0" distR="0" distT="0" layoutInCell="1" locked="0" relativeHeight="2" simplePos="0">
                  <wp:simplePos x="0" y="0"/>
                  <wp:positionH relativeFrom="column">
                    <wp:posOffset>299085</wp:posOffset>
                  </wp:positionH>
                  <wp:positionV relativeFrom="paragraph">
                    <wp:posOffset>0</wp:posOffset>
                  </wp:positionV>
                  <wp:extent cx="2752725" cy="1924050"/>
                  <wp:effectExtent b="0" l="0" r="0" t="0"/>
                  <wp:wrapTopAndBottom/>
                  <wp:docPr descr="" id="3" name="Pictur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 name="Picture" title=""/>
                          <pic:cNvPicPr>
                            <a:picLocks noChangeArrowheads="1" noChangeAspect="1"/>
                          </pic:cNvPicPr>
                        </pic:nvPicPr>
                        <pic:blipFill>
                          <a:blip r:embed="rId7"/>
                          <a:srcRect/>
                          <a:stretch>
                            <a:fillRect/>
                          </a:stretch>
                        </pic:blipFill>
                        <pic:spPr bwMode="auto">
                          <a:xfrm>
                            <a:off x="0" y="0"/>
                            <a:ext cx="2752725" cy="1924050"/>
                          </a:xfrm>
                          <a:prstGeom prst="rect">
                            <a:avLst/>
                          </a:prstGeom>
                          <a:noFill/>
                          <a:ln w="9525">
                            <a:noFill/>
                            <a:miter lim="800000"/>
                            <a:headEnd/>
                            <a:tailEnd/>
                          </a:ln>
                        </pic:spPr>
                      </pic:pic>
                    </a:graphicData>
                  </a:graphic>
                </wp:anchor>
              </w:drawing>
            </w:r>
          </w:p>
        </w:tc>
      </w:tr>
    </w:tbl>
    <w:p>
      <w:pPr>
        <w:pStyle w:val="style0"/>
        <w:rPr>
          <w:b/>
          <w:bCs/>
          <w:sz w:val="21"/>
          <w:szCs w:val="21"/>
          <w:u w:val="single"/>
          <w:shd w:fill="auto" w:val="clear"/>
        </w:rPr>
      </w:pPr>
      <w:r>
        <w:rPr>
          <w:b/>
          <w:bCs/>
          <w:sz w:val="22"/>
          <w:szCs w:val="22"/>
          <w:u w:val="single"/>
          <w:shd w:fill="auto" w:val="clear"/>
        </w:rPr>
        <w:t>Document B : Il y a 1,7 millions de postes à pourvoir en France – Site Le Figaro – Marine Babreau- Avril 2015</w:t>
      </w:r>
      <w:r>
        <w:rPr>
          <w:b/>
          <w:bCs/>
          <w:sz w:val="21"/>
          <w:szCs w:val="21"/>
          <w:u w:val="single"/>
          <w:shd w:fill="auto" w:val="clear"/>
        </w:rPr>
        <w:t xml:space="preserve"> </w:t>
      </w:r>
    </w:p>
    <w:p>
      <w:pPr>
        <w:pStyle w:val="style30"/>
        <w:spacing w:after="0" w:before="0" w:line="100" w:lineRule="atLeast"/>
        <w:contextualSpacing w:val="false"/>
        <w:jc w:val="both"/>
        <w:rPr>
          <w:b w:val="false"/>
          <w:bCs w:val="false"/>
          <w:color w:val="auto"/>
          <w:sz w:val="22"/>
          <w:szCs w:val="22"/>
          <w:u w:val="none"/>
          <w:shd w:fill="auto" w:val="clear"/>
        </w:rPr>
      </w:pPr>
      <w:r>
        <w:rPr>
          <w:b w:val="false"/>
          <w:bCs w:val="false"/>
          <w:color w:val="auto"/>
          <w:sz w:val="22"/>
          <w:szCs w:val="22"/>
          <w:u w:val="none"/>
          <w:shd w:fill="auto" w:val="clear"/>
        </w:rPr>
        <w:t>Inexorable paradoxe:</w:t>
      </w:r>
      <w:hyperlink r:id="rId8">
        <w:r>
          <w:rPr>
            <w:rStyle w:val="style25"/>
            <w:b w:val="false"/>
            <w:bCs w:val="false"/>
            <w:u w:val="none"/>
            <w:shd w:fill="auto" w:val="clear"/>
          </w:rPr>
          <w:t> en France, le nombre de demandeurs d'emplois augmente</w:t>
        </w:r>
      </w:hyperlink>
      <w:r>
        <w:rPr>
          <w:b w:val="false"/>
          <w:bCs w:val="false"/>
          <w:color w:val="auto"/>
          <w:sz w:val="22"/>
          <w:szCs w:val="22"/>
          <w:u w:val="none"/>
          <w:shd w:fill="auto" w:val="clear"/>
        </w:rPr>
        <w:t>... en même temps que les emplois vacants. C'est une nouvelle fois le constat de </w:t>
      </w:r>
      <w:hyperlink r:id="rId9">
        <w:r>
          <w:rPr>
            <w:rStyle w:val="style25"/>
            <w:b w:val="false"/>
            <w:bCs w:val="false"/>
            <w:u w:val="none"/>
            <w:shd w:fill="auto" w:val="clear"/>
          </w:rPr>
          <w:t>Pôle emploi</w:t>
        </w:r>
      </w:hyperlink>
      <w:r>
        <w:rPr>
          <w:b w:val="false"/>
          <w:bCs w:val="false"/>
          <w:color w:val="auto"/>
          <w:sz w:val="22"/>
          <w:szCs w:val="22"/>
          <w:u w:val="none"/>
          <w:shd w:fill="auto" w:val="clear"/>
        </w:rPr>
        <w:t>, qui publie ce jeudi</w:t>
      </w:r>
      <w:hyperlink r:id="rId10" w:tgtFrame="_blank">
        <w:r>
          <w:rPr>
            <w:rStyle w:val="style25"/>
            <w:b w:val="false"/>
            <w:bCs w:val="false"/>
            <w:u w:val="none"/>
            <w:shd w:fill="auto" w:val="clear"/>
          </w:rPr>
          <w:t> sa vaste étude annuelle sur les «Besoins en main d'œuvre»</w:t>
        </w:r>
      </w:hyperlink>
      <w:r>
        <w:rPr>
          <w:b w:val="false"/>
          <w:bCs w:val="false"/>
          <w:color w:val="auto"/>
          <w:sz w:val="22"/>
          <w:szCs w:val="22"/>
          <w:u w:val="none"/>
          <w:shd w:fill="auto" w:val="clear"/>
        </w:rPr>
        <w:t>* en France. Alors que</w:t>
      </w:r>
      <w:hyperlink r:id="rId11">
        <w:r>
          <w:rPr>
            <w:rStyle w:val="style25"/>
            <w:b w:val="false"/>
            <w:bCs w:val="false"/>
            <w:u w:val="none"/>
            <w:shd w:fill="auto" w:val="clear"/>
          </w:rPr>
          <w:t> la courbe du chômage reste inlassablement orientée à la hausse</w:t>
        </w:r>
      </w:hyperlink>
      <w:r>
        <w:rPr>
          <w:b w:val="false"/>
          <w:bCs w:val="false"/>
          <w:color w:val="auto"/>
          <w:sz w:val="22"/>
          <w:szCs w:val="22"/>
          <w:u w:val="none"/>
          <w:shd w:fill="auto" w:val="clear"/>
        </w:rPr>
        <w:t>, il y a - depuis trois ans - toujours plus d'entreprises qui assurent avoir besoin d'employés. En 2015, elles sont donc plus de 450.000 à vouloir embaucher. Ainsi plus de 20% des entreprises françaises envisagent de recruter cette année. Un record. Au total, les besoins de ces «recruteurs potentiels» représentent désormais... 1,74 million de postes! Soit 2,3% de plus que l'année dernière, qui était déjà en rebond de 5,4% par rapport à 2013. En face, le nombre de demandeurs d'emplois en</w:t>
      </w:r>
      <w:r>
        <w:rPr>
          <w:b w:val="false"/>
          <w:bCs w:val="false"/>
          <w:color w:val="auto"/>
          <w:sz w:val="22"/>
          <w:szCs w:val="22"/>
          <w:u w:val="none"/>
          <w:shd w:fill="FFFF00" w:val="clear"/>
        </w:rPr>
        <w:t xml:space="preserve"> </w:t>
      </w:r>
      <w:r>
        <w:rPr>
          <w:b w:val="false"/>
          <w:bCs w:val="false"/>
          <w:color w:val="auto"/>
          <w:sz w:val="22"/>
          <w:szCs w:val="22"/>
          <w:u w:val="none"/>
          <w:shd w:fill="auto" w:val="clear"/>
        </w:rPr>
        <w:t>France (toutes catégories confondues) s'élève désormais à plus de 5 millions.</w:t>
      </w:r>
    </w:p>
    <w:p>
      <w:pPr>
        <w:pStyle w:val="style30"/>
        <w:spacing w:after="0" w:before="0" w:line="100" w:lineRule="atLeast"/>
        <w:contextualSpacing w:val="false"/>
        <w:jc w:val="both"/>
        <w:rPr>
          <w:color w:val="auto"/>
          <w:sz w:val="22"/>
          <w:szCs w:val="22"/>
          <w:u w:val="none"/>
          <w:shd w:fill="auto" w:val="clear"/>
        </w:rPr>
      </w:pPr>
      <w:r>
        <w:rPr>
          <w:color w:val="auto"/>
          <w:sz w:val="22"/>
          <w:szCs w:val="22"/>
          <w:u w:val="none"/>
          <w:shd w:fill="auto" w:val="clear"/>
        </w:rPr>
        <w:t>Une schizophrénie qui montre une fois de plus que la France permet de moins en moins de faire coïncider l'offre et la demande d'emplois. […]</w:t>
      </w:r>
    </w:p>
    <w:p>
      <w:pPr>
        <w:pStyle w:val="style30"/>
        <w:spacing w:after="0" w:before="0" w:line="100" w:lineRule="atLeast"/>
        <w:contextualSpacing w:val="false"/>
        <w:jc w:val="both"/>
        <w:rPr>
          <w:sz w:val="22"/>
          <w:szCs w:val="22"/>
          <w:shd w:fill="auto" w:val="clear"/>
        </w:rPr>
      </w:pPr>
      <w:r>
        <w:rPr>
          <w:sz w:val="22"/>
          <w:szCs w:val="22"/>
          <w:shd w:fill="auto" w:val="clear"/>
        </w:rPr>
      </w:r>
    </w:p>
    <w:p>
      <w:pPr>
        <w:pStyle w:val="style0"/>
        <w:rPr>
          <w:b/>
          <w:bCs/>
          <w:color w:val="auto"/>
          <w:sz w:val="22"/>
          <w:szCs w:val="22"/>
          <w:u w:val="single"/>
          <w:shd w:fill="auto" w:val="clear"/>
        </w:rPr>
      </w:pPr>
      <w:r>
        <w:rPr>
          <w:b/>
          <w:bCs/>
          <w:color w:val="auto"/>
          <w:sz w:val="22"/>
          <w:szCs w:val="22"/>
          <w:u w:val="single"/>
          <w:shd w:fill="auto" w:val="clear"/>
        </w:rPr>
        <w:t>Document C : Les dossiers d'Alternatives économiques : Les métiers qui embauchent - Hors série n° 003 – Janvier 2016</w:t>
      </w:r>
    </w:p>
    <w:p>
      <w:pPr>
        <w:pStyle w:val="style0"/>
        <w:jc w:val="both"/>
        <w:rPr>
          <w:b w:val="false"/>
          <w:bCs w:val="false"/>
          <w:color w:val="auto"/>
          <w:sz w:val="22"/>
          <w:szCs w:val="22"/>
          <w:u w:val="none"/>
          <w:shd w:fill="auto" w:val="clear"/>
        </w:rPr>
      </w:pPr>
      <w:r>
        <w:rPr>
          <w:b w:val="false"/>
          <w:bCs w:val="false"/>
          <w:i w:val="false"/>
          <w:caps w:val="false"/>
          <w:smallCaps w:val="false"/>
          <w:color w:val="auto"/>
          <w:spacing w:val="0"/>
          <w:sz w:val="22"/>
          <w:szCs w:val="22"/>
          <w:u w:val="none"/>
          <w:shd w:fill="auto" w:val="clear"/>
        </w:rPr>
        <w:t>Pour différents métiers dits "en tension", les entreprises ont des difficultés à recruter. Si certains employeurs cherchent des moutons à cinq pattes, d'autres sont confrontés à de vraies difficultés. On manque effectivement de couvreurs, d'ingénieurs en informatique, de techniciens de maintenance, de soudeurs, de charcutiers traiteurs ou encore de médecins… Les raisons varient d'une famille professionnelle à l'autre : un </w:t>
      </w:r>
      <w:r>
        <w:rPr>
          <w:rStyle w:val="style28"/>
          <w:b w:val="false"/>
          <w:bCs w:val="false"/>
          <w:i w:val="false"/>
          <w:caps w:val="false"/>
          <w:smallCaps w:val="false"/>
          <w:color w:val="auto"/>
          <w:spacing w:val="0"/>
          <w:sz w:val="22"/>
          <w:szCs w:val="22"/>
          <w:u w:val="none"/>
          <w:shd w:fill="auto" w:val="clear"/>
        </w:rPr>
        <w:t>manque d'attractivité</w:t>
      </w:r>
      <w:r>
        <w:rPr>
          <w:b w:val="false"/>
          <w:bCs w:val="false"/>
          <w:caps w:val="false"/>
          <w:smallCaps w:val="false"/>
          <w:color w:val="auto"/>
          <w:spacing w:val="0"/>
          <w:sz w:val="22"/>
          <w:szCs w:val="22"/>
          <w:u w:val="none"/>
          <w:shd w:fill="auto" w:val="clear"/>
        </w:rPr>
        <w:t> </w:t>
      </w:r>
      <w:r>
        <w:rPr>
          <w:b w:val="false"/>
          <w:bCs w:val="false"/>
          <w:i w:val="false"/>
          <w:caps w:val="false"/>
          <w:smallCaps w:val="false"/>
          <w:color w:val="auto"/>
          <w:spacing w:val="0"/>
          <w:sz w:val="22"/>
          <w:szCs w:val="22"/>
          <w:u w:val="none"/>
          <w:shd w:fill="auto" w:val="clear"/>
        </w:rPr>
        <w:t>de certains métiers, pour des raisons objectives parfois, d'image souvent, des </w:t>
      </w:r>
      <w:r>
        <w:rPr>
          <w:rStyle w:val="style28"/>
          <w:b w:val="false"/>
          <w:bCs w:val="false"/>
          <w:i w:val="false"/>
          <w:caps w:val="false"/>
          <w:smallCaps w:val="false"/>
          <w:color w:val="auto"/>
          <w:spacing w:val="0"/>
          <w:sz w:val="22"/>
          <w:szCs w:val="22"/>
          <w:u w:val="none"/>
          <w:shd w:fill="auto" w:val="clear"/>
        </w:rPr>
        <w:t>exigence de qualifications précises</w:t>
      </w:r>
      <w:r>
        <w:rPr>
          <w:b w:val="false"/>
          <w:bCs w:val="false"/>
          <w:caps w:val="false"/>
          <w:smallCaps w:val="false"/>
          <w:color w:val="auto"/>
          <w:spacing w:val="0"/>
          <w:sz w:val="22"/>
          <w:szCs w:val="22"/>
          <w:u w:val="none"/>
          <w:shd w:fill="auto" w:val="clear"/>
        </w:rPr>
        <w:t> </w:t>
      </w:r>
      <w:r>
        <w:rPr>
          <w:b w:val="false"/>
          <w:bCs w:val="false"/>
          <w:i w:val="false"/>
          <w:caps w:val="false"/>
          <w:smallCaps w:val="false"/>
          <w:color w:val="auto"/>
          <w:spacing w:val="0"/>
          <w:sz w:val="22"/>
          <w:szCs w:val="22"/>
          <w:u w:val="none"/>
          <w:shd w:fill="auto" w:val="clear"/>
        </w:rPr>
        <w:t>dans les professions à haute valeur ajoutée, etc.</w:t>
      </w:r>
      <w:r>
        <w:rPr>
          <w:b w:val="false"/>
          <w:bCs w:val="false"/>
          <w:color w:val="auto"/>
          <w:sz w:val="22"/>
          <w:szCs w:val="22"/>
          <w:u w:val="none"/>
          <w:shd w:fill="auto" w:val="clear"/>
        </w:rPr>
        <w:t xml:space="preserve"> </w:t>
      </w:r>
    </w:p>
    <w:p>
      <w:pPr>
        <w:pStyle w:val="style0"/>
        <w:jc w:val="both"/>
        <w:rPr>
          <w:b w:val="false"/>
          <w:bCs w:val="false"/>
          <w:sz w:val="22"/>
          <w:szCs w:val="22"/>
          <w:u w:val="none"/>
        </w:rPr>
      </w:pPr>
      <w:r>
        <w:rPr>
          <w:b w:val="false"/>
          <w:bCs w:val="false"/>
          <w:sz w:val="22"/>
          <w:szCs w:val="22"/>
          <w:u w:val="none"/>
        </w:rPr>
      </w:r>
    </w:p>
    <w:p>
      <w:pPr>
        <w:pStyle w:val="style0"/>
        <w:jc w:val="center"/>
        <w:rPr>
          <w:rFonts w:ascii="Arial Black" w:hAnsi="Arial Black"/>
          <w:b/>
          <w:bCs/>
          <w:u w:val="single"/>
        </w:rPr>
      </w:pPr>
      <w:r>
        <w:rPr>
          <w:rFonts w:ascii="Arial Black" w:hAnsi="Arial Black"/>
          <w:b/>
          <w:bCs/>
          <w:u w:val="single"/>
        </w:rPr>
        <w:t xml:space="preserve">Groupe 2 : Les économistes de la Commission européenne </w:t>
      </w:r>
    </w:p>
    <w:p>
      <w:pPr>
        <w:pStyle w:val="style0"/>
        <w:rPr>
          <w:rFonts w:ascii="Calibri" w:cs="Calibri" w:eastAsia="Calibri" w:hAnsi="Calibri"/>
          <w:b/>
          <w:bCs/>
          <w:sz w:val="20"/>
          <w:szCs w:val="20"/>
          <w:u w:val="single"/>
        </w:rPr>
      </w:pPr>
      <w:r>
        <w:rPr>
          <w:rFonts w:ascii="Calibri" w:cs="Calibri" w:eastAsia="Calibri" w:hAnsi="Calibri"/>
          <w:b/>
          <w:bCs/>
          <w:sz w:val="20"/>
          <w:szCs w:val="20"/>
          <w:u w:val="single"/>
        </w:rPr>
      </w:r>
    </w:p>
    <w:p>
      <w:pPr>
        <w:pStyle w:val="style0"/>
        <w:jc w:val="both"/>
        <w:rPr>
          <w:rFonts w:cs="Calibri" w:eastAsia="Calibri"/>
          <w:b/>
          <w:bCs/>
          <w:sz w:val="22"/>
          <w:szCs w:val="22"/>
          <w:u w:val="single"/>
          <w:shd w:fill="auto" w:val="clear"/>
        </w:rPr>
      </w:pPr>
      <w:r>
        <w:rPr>
          <w:rFonts w:cs="Calibri" w:eastAsia="Calibri"/>
          <w:b/>
          <w:bCs/>
          <w:sz w:val="22"/>
          <w:szCs w:val="22"/>
          <w:u w:val="single"/>
          <w:shd w:fill="auto" w:val="clear"/>
        </w:rPr>
        <w:t>Document A : Les Rencontres économiques – Réformer le marché du travail ? Sept 2015 (Extrait)</w:t>
      </w:r>
    </w:p>
    <w:p>
      <w:pPr>
        <w:pStyle w:val="style0"/>
        <w:jc w:val="both"/>
        <w:rPr>
          <w:rFonts w:cs="Calibri" w:eastAsia="Calibri"/>
          <w:b w:val="false"/>
          <w:bCs w:val="false"/>
          <w:sz w:val="22"/>
          <w:szCs w:val="22"/>
          <w:u w:val="none"/>
          <w:shd w:fill="auto" w:val="clear"/>
        </w:rPr>
      </w:pPr>
      <w:r>
        <w:rPr>
          <w:rFonts w:cs="Calibri" w:eastAsia="Calibri"/>
          <w:b w:val="false"/>
          <w:bCs w:val="false"/>
          <w:sz w:val="22"/>
          <w:szCs w:val="22"/>
          <w:u w:val="none"/>
          <w:shd w:fill="auto" w:val="clear"/>
        </w:rPr>
        <w:t xml:space="preserve">La donne a changé en matière de transparence des coûts du travail et de concurrence au niveau européen et </w:t>
      </w:r>
      <w:r>
        <w:rPr>
          <w:rFonts w:cs="Calibri" w:eastAsia="Calibri"/>
          <w:b w:val="false"/>
          <w:bCs w:val="false"/>
          <w:sz w:val="22"/>
          <w:szCs w:val="22"/>
          <w:u w:val="none"/>
          <w:shd w:fill="auto" w:val="clear"/>
        </w:rPr>
        <w:t>mondial. Ainsi, la France et d’autres pays du nord de l’Europe subissent une pression compétitive de la part d’autres pays, notamment du Sud (Espagne, Portugal) qui ont procédé à des ajustements très importants. Il faut s’adapter à cette nouvelle situation.</w:t>
      </w:r>
    </w:p>
    <w:p>
      <w:pPr>
        <w:pStyle w:val="style0"/>
        <w:jc w:val="both"/>
        <w:rPr>
          <w:rFonts w:cs="Calibri" w:eastAsia="Calibri"/>
          <w:b w:val="false"/>
          <w:bCs w:val="false"/>
          <w:sz w:val="22"/>
          <w:szCs w:val="22"/>
          <w:u w:val="none"/>
          <w:shd w:fill="auto" w:val="clear"/>
        </w:rPr>
      </w:pPr>
      <w:r>
        <w:rPr>
          <w:rFonts w:cs="Calibri" w:eastAsia="Calibri"/>
          <w:b w:val="false"/>
          <w:bCs w:val="false"/>
          <w:sz w:val="22"/>
          <w:szCs w:val="22"/>
          <w:u w:val="none"/>
          <w:shd w:fill="auto" w:val="clear"/>
        </w:rPr>
        <w:t xml:space="preserve">Par ailleurs, le lien </w:t>
      </w:r>
      <w:r>
        <w:rPr>
          <w:rFonts w:cs="Calibri" w:eastAsia="Calibri"/>
          <w:b w:val="false"/>
          <w:bCs w:val="false"/>
          <w:sz w:val="22"/>
          <w:szCs w:val="22"/>
          <w:u w:val="none"/>
          <w:shd w:fill="auto" w:val="clear"/>
        </w:rPr>
        <w:t xml:space="preserve">entre salaire et productivité pose problème. Le processus d’évolution salariale doit devenir plus transparent et être discuté avec les partenaires sociaux. Ce sont des critères économiques et objectifs qui doivent commander son évolution et non des choix discrétionnaires et politiques. Ce sont les partenaires </w:t>
      </w:r>
      <w:r>
        <w:rPr>
          <w:rFonts w:cs="Calibri" w:eastAsia="Calibri"/>
          <w:b w:val="false"/>
          <w:bCs w:val="false"/>
          <w:sz w:val="22"/>
          <w:szCs w:val="22"/>
          <w:u w:val="none"/>
          <w:shd w:fill="auto" w:val="clear"/>
        </w:rPr>
        <w:t>sociaux qui doivent adopter ces ajustements en fonction de la productivité.</w:t>
      </w:r>
    </w:p>
    <w:p>
      <w:pPr>
        <w:pStyle w:val="style0"/>
        <w:autoSpaceDE w:val="false"/>
        <w:jc w:val="both"/>
        <w:rPr>
          <w:rFonts w:cs="Calibri" w:eastAsia="Calibri"/>
          <w:sz w:val="22"/>
          <w:szCs w:val="22"/>
          <w:shd w:fill="auto" w:val="clear"/>
        </w:rPr>
      </w:pPr>
      <w:r>
        <w:rPr>
          <w:rFonts w:cs="Calibri" w:eastAsia="Calibri"/>
          <w:sz w:val="22"/>
          <w:szCs w:val="22"/>
          <w:shd w:fill="auto" w:val="clear"/>
        </w:rPr>
        <w:t>Les coûts unitaires du travail, internes à l’Europe, sont une donnée, mais nos économies européennes ne peuvent concurrencer la Chine ou l’Inde sur les coûts du travail ou les coûts environnementaux. La chance de l’Europe réside alors dans sa compétitivité hors coûts, c’est‐à‐dire dans l’innovation et l’éducation. La performance française est insuffisante à cet égard, notamment en matière d’éducation. La France doit s’améliorer sur ces secteurs.</w:t>
      </w:r>
    </w:p>
    <w:p>
      <w:pPr>
        <w:pStyle w:val="style0"/>
        <w:autoSpaceDE w:val="false"/>
        <w:jc w:val="both"/>
        <w:rPr>
          <w:b/>
          <w:bCs/>
          <w:sz w:val="22"/>
          <w:szCs w:val="22"/>
          <w:u w:val="single"/>
          <w:shd w:fill="auto" w:val="clear"/>
        </w:rPr>
      </w:pPr>
      <w:r>
        <w:rPr>
          <w:b/>
          <w:bCs/>
          <w:sz w:val="22"/>
          <w:szCs w:val="22"/>
          <w:u w:val="single"/>
          <w:shd w:fill="auto" w:val="clear"/>
        </w:rPr>
      </w:r>
    </w:p>
    <w:p>
      <w:pPr>
        <w:pStyle w:val="style0"/>
        <w:jc w:val="both"/>
        <w:rPr>
          <w:rFonts w:cs="Calibri" w:eastAsia="Calibri"/>
          <w:b/>
          <w:bCs/>
          <w:i w:val="false"/>
          <w:iCs w:val="false"/>
          <w:sz w:val="22"/>
          <w:szCs w:val="22"/>
          <w:u w:val="single"/>
          <w:shd w:fill="auto" w:val="clear"/>
        </w:rPr>
      </w:pPr>
      <w:r>
        <w:rPr>
          <w:rFonts w:cs="Calibri" w:eastAsia="Calibri"/>
          <w:b/>
          <w:bCs/>
          <w:sz w:val="22"/>
          <w:szCs w:val="22"/>
          <w:u w:val="single"/>
          <w:shd w:fill="auto" w:val="clear"/>
        </w:rPr>
        <w:t xml:space="preserve">Document B : Questions posées à Éric Heyer, </w:t>
      </w:r>
      <w:r>
        <w:rPr>
          <w:rFonts w:cs="Calibri-Italic" w:eastAsia="Calibri-Italic"/>
          <w:b/>
          <w:bCs/>
          <w:i/>
          <w:iCs/>
          <w:sz w:val="22"/>
          <w:szCs w:val="22"/>
          <w:u w:val="single"/>
          <w:shd w:fill="auto" w:val="clear"/>
        </w:rPr>
        <w:t xml:space="preserve">Directeur du département analyse et prévision, Observatoire français des conjonctures économiques (OFCE), </w:t>
      </w:r>
      <w:r>
        <w:rPr>
          <w:rFonts w:cs="Calibri" w:eastAsia="Calibri"/>
          <w:b/>
          <w:bCs/>
          <w:i w:val="false"/>
          <w:iCs w:val="false"/>
          <w:sz w:val="22"/>
          <w:szCs w:val="22"/>
          <w:u w:val="single"/>
          <w:shd w:fill="auto" w:val="clear"/>
        </w:rPr>
        <w:t>lors des Rencontres économiques</w:t>
      </w:r>
    </w:p>
    <w:p>
      <w:pPr>
        <w:pStyle w:val="style0"/>
        <w:jc w:val="both"/>
        <w:rPr>
          <w:rFonts w:cs="Calibri" w:eastAsia="Calibri"/>
          <w:sz w:val="14"/>
          <w:szCs w:val="14"/>
          <w:shd w:fill="auto" w:val="clear"/>
        </w:rPr>
      </w:pPr>
      <w:r>
        <w:rPr>
          <w:rFonts w:cs="Calibri" w:eastAsia="Calibri"/>
          <w:sz w:val="14"/>
          <w:szCs w:val="14"/>
          <w:shd w:fill="auto" w:val="clear"/>
        </w:rPr>
      </w:r>
    </w:p>
    <w:p>
      <w:pPr>
        <w:pStyle w:val="style0"/>
        <w:jc w:val="both"/>
        <w:rPr>
          <w:rFonts w:cs="Calibri" w:eastAsia="Calibri"/>
          <w:b/>
          <w:bCs/>
          <w:sz w:val="22"/>
          <w:szCs w:val="22"/>
          <w:u w:val="none"/>
          <w:shd w:fill="auto" w:val="clear"/>
        </w:rPr>
      </w:pPr>
      <w:r>
        <w:rPr>
          <w:rFonts w:cs="Calibri" w:eastAsia="Calibri"/>
          <w:b/>
          <w:bCs/>
          <w:sz w:val="22"/>
          <w:szCs w:val="22"/>
          <w:u w:val="none"/>
          <w:shd w:fill="auto" w:val="clear"/>
        </w:rPr>
        <w:t xml:space="preserve">Le problème de compétitivité peut‐il expliquer en partie la baisse des exportations industrielles françaises au </w:t>
      </w:r>
      <w:r>
        <w:rPr>
          <w:rFonts w:cs="Calibri" w:eastAsia="Calibri"/>
          <w:b/>
          <w:bCs/>
          <w:sz w:val="22"/>
          <w:szCs w:val="22"/>
          <w:u w:val="none"/>
          <w:shd w:fill="auto" w:val="clear"/>
        </w:rPr>
        <w:t>sein de l’Union européenne ?</w:t>
      </w:r>
    </w:p>
    <w:p>
      <w:pPr>
        <w:pStyle w:val="style0"/>
        <w:autoSpaceDE w:val="false"/>
        <w:jc w:val="both"/>
        <w:rPr>
          <w:rFonts w:cs="Calibri" w:eastAsia="Calibri"/>
          <w:sz w:val="14"/>
          <w:szCs w:val="14"/>
          <w:shd w:fill="auto" w:val="clear"/>
        </w:rPr>
      </w:pPr>
      <w:r>
        <w:rPr>
          <w:rFonts w:cs="Calibri" w:eastAsia="Calibri"/>
          <w:sz w:val="14"/>
          <w:szCs w:val="14"/>
          <w:shd w:fill="auto" w:val="clear"/>
        </w:rPr>
      </w:r>
    </w:p>
    <w:p>
      <w:pPr>
        <w:pStyle w:val="style0"/>
        <w:autoSpaceDE w:val="false"/>
        <w:jc w:val="both"/>
        <w:rPr>
          <w:rFonts w:cs="Calibri" w:eastAsia="Calibri"/>
          <w:sz w:val="22"/>
          <w:szCs w:val="22"/>
          <w:shd w:fill="auto" w:val="clear"/>
        </w:rPr>
      </w:pPr>
      <w:r>
        <w:rPr>
          <w:rFonts w:cs="Calibri" w:eastAsia="Calibri"/>
          <w:sz w:val="22"/>
          <w:szCs w:val="22"/>
          <w:shd w:fill="auto" w:val="clear"/>
        </w:rPr>
        <w:t>[…] A partir des années 2000 et de l’entrée de la Chine dans l’OMC, l’excédent commercial français s’est dégradé. La stratégie allemande de réduction de 20 % du coût salarial unitaire a pesé également sur la compétitivité française. Le coût salarial unitaire français s’est maintenu au niveau européen. La France a perdu des parts de marché, mais les autres pays européens en ont également perdu. Aujourd’hui, la difficulté réside dans l’adoption par tous les pays du Sud de la stratégie de réduction du coût salarial. La France se trouve « prise en sandwich » avec ces pays, notamment avec l’Espagne. Le CICE (le crédit d'impôt pour la compétitivité et l'emploi) tente de répondre à ce problème par des baisses de cotisations. Le retard pourra être rattrapé si les autres pays ne poursuivent pas une politique de réduction de leurs coûts salariaux.</w:t>
      </w:r>
    </w:p>
    <w:p>
      <w:pPr>
        <w:pStyle w:val="style0"/>
        <w:autoSpaceDE w:val="false"/>
        <w:jc w:val="both"/>
        <w:rPr>
          <w:rFonts w:cs="Calibri-Bold" w:eastAsia="Calibri-Bold"/>
          <w:b/>
          <w:bCs/>
          <w:sz w:val="14"/>
          <w:szCs w:val="14"/>
          <w:shd w:fill="auto" w:val="clear"/>
        </w:rPr>
      </w:pPr>
      <w:r>
        <w:rPr>
          <w:rFonts w:cs="Calibri-Bold" w:eastAsia="Calibri-Bold"/>
          <w:b/>
          <w:bCs/>
          <w:sz w:val="14"/>
          <w:szCs w:val="14"/>
          <w:shd w:fill="auto" w:val="clear"/>
        </w:rPr>
      </w:r>
    </w:p>
    <w:p>
      <w:pPr>
        <w:pStyle w:val="style0"/>
        <w:autoSpaceDE w:val="false"/>
        <w:jc w:val="both"/>
        <w:rPr>
          <w:rFonts w:cs="Calibri" w:eastAsia="Calibri"/>
          <w:b/>
          <w:bCs/>
          <w:sz w:val="22"/>
          <w:szCs w:val="22"/>
          <w:shd w:fill="auto" w:val="clear"/>
        </w:rPr>
      </w:pPr>
      <w:r>
        <w:rPr>
          <w:rFonts w:cs="Calibri" w:eastAsia="Calibri"/>
          <w:b/>
          <w:bCs/>
          <w:sz w:val="22"/>
          <w:szCs w:val="22"/>
          <w:shd w:fill="auto" w:val="clear"/>
        </w:rPr>
        <w:t>Le dumping social vers la France pourrait‐il être source de création de richesse ?</w:t>
      </w:r>
    </w:p>
    <w:p>
      <w:pPr>
        <w:pStyle w:val="style0"/>
        <w:autoSpaceDE w:val="false"/>
        <w:jc w:val="both"/>
        <w:rPr>
          <w:rFonts w:cs="Calibri-Bold" w:eastAsia="Calibri-Bold"/>
          <w:b/>
          <w:bCs/>
          <w:sz w:val="14"/>
          <w:szCs w:val="14"/>
          <w:shd w:fill="auto" w:val="clear"/>
        </w:rPr>
      </w:pPr>
      <w:r>
        <w:rPr>
          <w:rFonts w:cs="Calibri-Bold" w:eastAsia="Calibri-Bold"/>
          <w:b/>
          <w:bCs/>
          <w:sz w:val="14"/>
          <w:szCs w:val="14"/>
          <w:shd w:fill="auto" w:val="clear"/>
        </w:rPr>
      </w:r>
    </w:p>
    <w:p>
      <w:pPr>
        <w:pStyle w:val="style0"/>
        <w:autoSpaceDE w:val="false"/>
        <w:jc w:val="both"/>
        <w:rPr>
          <w:rFonts w:cs="Calibri" w:eastAsia="Calibri"/>
          <w:sz w:val="22"/>
          <w:szCs w:val="22"/>
          <w:shd w:fill="auto" w:val="clear"/>
        </w:rPr>
      </w:pPr>
      <w:r>
        <w:rPr>
          <w:rFonts w:cs="Calibri" w:eastAsia="Calibri"/>
          <w:sz w:val="22"/>
          <w:szCs w:val="22"/>
          <w:shd w:fill="auto" w:val="clear"/>
        </w:rPr>
        <w:t>La stratégie de baisse des salaires fonctionne à court terme, mais suscite des interrogations sur ses effets à moyen et long termes, et sur la capacité des salariés à accepter la baisse des salaires. Une vision à moyen et long termes exige des gains de productivité, ceci par l’investissement sur le capital humain (formation, éducation) et dans l’innovation (haute technologie, R&amp;D, robotique).</w:t>
      </w:r>
    </w:p>
    <w:p>
      <w:pPr>
        <w:pStyle w:val="style0"/>
        <w:rPr>
          <w:b/>
          <w:bCs/>
          <w:u w:val="single"/>
        </w:rPr>
      </w:pPr>
      <w:r>
        <w:rPr>
          <w:b/>
          <w:bCs/>
          <w:u w:val="single"/>
        </w:rPr>
      </w:r>
    </w:p>
    <w:p>
      <w:pPr>
        <w:pStyle w:val="style0"/>
        <w:rPr>
          <w:rFonts w:ascii="Trebuchet MS" w:hAnsi="Trebuchet MS"/>
          <w:b w:val="false"/>
          <w:i w:val="false"/>
          <w:caps w:val="false"/>
          <w:smallCaps w:val="false"/>
          <w:color w:val="FF7E00"/>
          <w:spacing w:val="0"/>
          <w:sz w:val="20"/>
        </w:rPr>
      </w:pPr>
      <w:r>
        <w:rPr>
          <w:b/>
          <w:bCs/>
          <w:u w:val="single"/>
        </w:rPr>
        <w:t xml:space="preserve">Document C : Niveau de coût de l'heure de travail en euros, mars 2016 </w:t>
      </w:r>
      <w:r>
        <w:rPr>
          <w:rFonts w:ascii="Trebuchet MS" w:hAnsi="Trebuchet MS"/>
          <w:b w:val="false"/>
          <w:i w:val="false"/>
          <w:caps w:val="false"/>
          <w:smallCaps w:val="false"/>
          <w:color w:val="FF7E00"/>
          <w:spacing w:val="0"/>
          <w:sz w:val="20"/>
        </w:rPr>
        <w:t xml:space="preserve">(source : </w:t>
      </w:r>
      <w:hyperlink r:id="rId12">
        <w:r>
          <w:rPr>
            <w:rStyle w:val="style25"/>
            <w:b/>
          </w:rPr>
          <w:t>http://www.coe-rexecode.fr/public/Indicateurs-et-Graphiques/Indicateurs-du-cout-de-l-heure-de-travail-en-Europe</w:t>
        </w:r>
      </w:hyperlink>
      <w:r>
        <w:rPr>
          <w:rFonts w:ascii="Trebuchet MS" w:hAnsi="Trebuchet MS"/>
          <w:b w:val="false"/>
          <w:i w:val="false"/>
          <w:caps w:val="false"/>
          <w:smallCaps w:val="false"/>
          <w:color w:val="FF7E00"/>
          <w:spacing w:val="0"/>
          <w:sz w:val="20"/>
        </w:rPr>
        <w:t>)</w:t>
      </w:r>
    </w:p>
    <w:p>
      <w:pPr>
        <w:pStyle w:val="style30"/>
        <w:widowControl/>
        <w:pBdr>
          <w:top w:val="nil"/>
          <w:left w:val="nil"/>
          <w:bottom w:val="nil"/>
          <w:insideH w:val="nil"/>
          <w:right w:val="nil"/>
          <w:insideV w:val="nil"/>
        </w:pBdr>
        <w:spacing w:after="45" w:before="0"/>
        <w:ind w:end="0" w:hanging="0" w:start="0"/>
        <w:contextualSpacing w:val="false"/>
        <w:jc w:val="start"/>
        <w:rPr>
          <w:rFonts w:ascii="Trebuchet MS" w:hAnsi="Trebuchet MS"/>
          <w:b w:val="false"/>
          <w:i w:val="false"/>
          <w:caps w:val="false"/>
          <w:smallCaps w:val="false"/>
          <w:color w:val="FF7E00"/>
          <w:spacing w:val="0"/>
          <w:sz w:val="12"/>
          <w:szCs w:val="12"/>
        </w:rPr>
      </w:pPr>
      <w:r>
        <w:rPr>
          <w:rFonts w:ascii="Trebuchet MS" w:hAnsi="Trebuchet MS"/>
          <w:b w:val="false"/>
          <w:i w:val="false"/>
          <w:caps w:val="false"/>
          <w:smallCaps w:val="false"/>
          <w:color w:val="FF7E00"/>
          <w:spacing w:val="0"/>
          <w:sz w:val="12"/>
          <w:szCs w:val="12"/>
        </w:rPr>
      </w:r>
    </w:p>
    <w:p>
      <w:pPr>
        <w:pStyle w:val="style0"/>
        <w:rPr>
          <w:b/>
          <w:bCs/>
          <w:u w:val="single"/>
        </w:rPr>
      </w:pPr>
      <w:r>
        <w:rPr>
          <w:b/>
          <w:bCs/>
          <w:u w:val="single"/>
        </w:rPr>
        <w:drawing>
          <wp:anchor allowOverlap="1" behindDoc="0" distB="0" distL="0" distR="0" distT="0" layoutInCell="1" locked="0" relativeHeight="3" simplePos="0">
            <wp:simplePos x="0" y="0"/>
            <wp:positionH relativeFrom="column">
              <wp:posOffset>1018540</wp:posOffset>
            </wp:positionH>
            <wp:positionV relativeFrom="paragraph">
              <wp:posOffset>0</wp:posOffset>
            </wp:positionV>
            <wp:extent cx="4803140" cy="2789555"/>
            <wp:effectExtent b="0" l="0" r="0" t="0"/>
            <wp:wrapTopAndBottom/>
            <wp:docPr descr="" id="4" name="Pictur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 name="Picture" title=""/>
                    <pic:cNvPicPr>
                      <a:picLocks noChangeArrowheads="1" noChangeAspect="1"/>
                    </pic:cNvPicPr>
                  </pic:nvPicPr>
                  <pic:blipFill>
                    <a:blip r:embed="rId13"/>
                    <a:srcRect/>
                    <a:stretch>
                      <a:fillRect/>
                    </a:stretch>
                  </pic:blipFill>
                  <pic:spPr bwMode="auto">
                    <a:xfrm>
                      <a:off x="0" y="0"/>
                      <a:ext cx="4803140" cy="2789555"/>
                    </a:xfrm>
                    <a:prstGeom prst="rect">
                      <a:avLst/>
                    </a:prstGeom>
                    <a:noFill/>
                    <a:ln w="9525">
                      <a:noFill/>
                      <a:miter lim="800000"/>
                      <a:headEnd/>
                      <a:tailEnd/>
                    </a:ln>
                  </pic:spPr>
                </pic:pic>
              </a:graphicData>
            </a:graphic>
          </wp:anchor>
        </w:drawing>
      </w:r>
    </w:p>
    <w:p>
      <w:pPr>
        <w:pStyle w:val="style0"/>
        <w:rPr>
          <w:b/>
          <w:bCs/>
          <w:u w:val="single"/>
        </w:rPr>
      </w:pPr>
      <w:r>
        <w:rPr>
          <w:b/>
          <w:bCs/>
          <w:u w:val="single"/>
        </w:rPr>
      </w:r>
    </w:p>
    <w:p>
      <w:pPr>
        <w:pStyle w:val="style0"/>
        <w:jc w:val="center"/>
        <w:rPr>
          <w:rFonts w:ascii="Arial Black" w:hAnsi="Arial Black"/>
          <w:b/>
          <w:bCs/>
          <w:u w:val="single"/>
        </w:rPr>
      </w:pPr>
      <w:r>
        <w:rPr>
          <w:rFonts w:ascii="Arial Black" w:hAnsi="Arial Black"/>
          <w:b/>
          <w:bCs/>
          <w:u w:val="single"/>
        </w:rPr>
        <w:t>Groupe 3 : Les économistes de l'OCDE</w:t>
      </w:r>
    </w:p>
    <w:p>
      <w:pPr>
        <w:pStyle w:val="style0"/>
        <w:jc w:val="center"/>
        <w:rPr>
          <w:rFonts w:ascii="Arial Black" w:hAnsi="Arial Black"/>
          <w:b/>
          <w:bCs/>
          <w:u w:val="single"/>
        </w:rPr>
      </w:pPr>
      <w:r>
        <w:rPr>
          <w:rFonts w:ascii="Arial Black" w:hAnsi="Arial Black"/>
          <w:b/>
          <w:bCs/>
          <w:u w:val="single"/>
        </w:rPr>
        <w:t>(Organisation de Coopération et de Développement Économiques)</w:t>
      </w:r>
    </w:p>
    <w:p>
      <w:pPr>
        <w:pStyle w:val="style0"/>
        <w:rPr>
          <w:b/>
          <w:bCs/>
          <w:u w:val="single"/>
        </w:rPr>
      </w:pPr>
      <w:r>
        <w:rPr>
          <w:b/>
          <w:bCs/>
          <w:u w:val="single"/>
        </w:rPr>
      </w:r>
    </w:p>
    <w:p>
      <w:pPr>
        <w:pStyle w:val="style0"/>
        <w:jc w:val="both"/>
        <w:rPr>
          <w:b/>
          <w:bCs/>
          <w:i w:val="false"/>
          <w:caps w:val="false"/>
          <w:smallCaps w:val="false"/>
          <w:color w:val="000000"/>
          <w:spacing w:val="0"/>
          <w:sz w:val="22"/>
          <w:szCs w:val="22"/>
          <w:u w:val="single"/>
        </w:rPr>
      </w:pPr>
      <w:r>
        <w:rPr>
          <w:rFonts w:cs="Calibri" w:eastAsia="Calibri"/>
          <w:b/>
          <w:bCs/>
          <w:sz w:val="22"/>
          <w:szCs w:val="22"/>
          <w:u w:val="single"/>
        </w:rPr>
        <w:t xml:space="preserve">Document A : </w:t>
      </w:r>
      <w:r>
        <w:rPr>
          <w:b/>
          <w:bCs/>
          <w:i w:val="false"/>
          <w:caps w:val="false"/>
          <w:smallCaps w:val="false"/>
          <w:color w:val="232425"/>
          <w:sz w:val="22"/>
          <w:szCs w:val="22"/>
          <w:u w:val="single"/>
        </w:rPr>
        <w:t xml:space="preserve">L'OCDE prévoit un début de baisse du chômage en France "fin 2016" </w:t>
      </w:r>
      <w:r>
        <w:rPr>
          <w:b/>
          <w:bCs/>
          <w:i w:val="false"/>
          <w:caps w:val="false"/>
          <w:smallCaps w:val="false"/>
          <w:color w:val="000000"/>
          <w:spacing w:val="0"/>
          <w:sz w:val="22"/>
          <w:szCs w:val="22"/>
          <w:u w:val="single"/>
        </w:rPr>
        <w:t>- 09/11/2015 – Site Le Point</w:t>
      </w:r>
    </w:p>
    <w:p>
      <w:pPr>
        <w:pStyle w:val="style30"/>
        <w:jc w:val="both"/>
        <w:rPr>
          <w:b w:val="false"/>
          <w:i w:val="false"/>
          <w:caps w:val="false"/>
          <w:smallCaps w:val="false"/>
          <w:color w:val="000000"/>
          <w:spacing w:val="0"/>
          <w:sz w:val="22"/>
          <w:szCs w:val="22"/>
          <w:shd w:fill="auto" w:val="clear"/>
        </w:rPr>
      </w:pPr>
      <w:r>
        <w:rPr>
          <w:rFonts w:cs="Calibri" w:eastAsia="Calibri"/>
          <w:b w:val="false"/>
          <w:bCs w:val="false"/>
          <w:i w:val="false"/>
          <w:caps w:val="false"/>
          <w:smallCaps w:val="false"/>
          <w:color w:val="000000"/>
          <w:spacing w:val="0"/>
          <w:sz w:val="22"/>
          <w:szCs w:val="22"/>
          <w:u w:val="none"/>
          <w:shd w:fill="auto" w:val="clear"/>
        </w:rPr>
        <w:t>L'OCDE a prévenu [...] que le chômage ne devrait baisser qu'à partir de la fin d'année prochaine en France, tout en indiquant que la croissance devrait accélérer dans le pays, mais moins vite que n'espère le gouvernement.</w:t>
      </w:r>
      <w:r>
        <w:rPr>
          <w:b w:val="false"/>
          <w:i w:val="false"/>
          <w:caps w:val="false"/>
          <w:smallCaps w:val="false"/>
          <w:color w:val="000000"/>
          <w:spacing w:val="0"/>
          <w:sz w:val="22"/>
          <w:szCs w:val="22"/>
          <w:shd w:fill="auto" w:val="clear"/>
        </w:rPr>
        <w:t>[...] "Le taux de chômage devrait commencer à décliner doucement fin 2016", selon l'OCDE, qui table pour la France sur une "accélération des investissements" devant donner à la reprise "une base plus saine".</w:t>
      </w:r>
    </w:p>
    <w:tbl>
      <w:tblPr>
        <w:tblW w:type="dxa" w:w="10772"/>
        <w:jc w:val="start"/>
        <w:tblInd w:type="dxa" w:w="55"/>
        <w:tblBorders>
          <w:top w:val="nil"/>
          <w:start w:val="nil"/>
          <w:bottom w:val="nil"/>
          <w:insideH w:val="nil"/>
          <w:end w:val="nil"/>
          <w:insideV w:val="nil"/>
        </w:tblBorders>
        <w:tblCellMar>
          <w:top w:type="dxa" w:w="55"/>
          <w:start w:type="dxa" w:w="55"/>
          <w:bottom w:type="dxa" w:w="55"/>
          <w:end w:type="dxa" w:w="55"/>
        </w:tblCellMar>
      </w:tblPr>
      <w:tblGrid>
        <w:gridCol w:w="6809"/>
        <w:gridCol w:w="3963"/>
      </w:tblGrid>
      <w:tr>
        <w:trPr>
          <w:cantSplit w:val="false"/>
        </w:trPr>
        <w:tc>
          <w:tcPr>
            <w:tcW w:type="dxa" w:w="6809"/>
            <w:tcBorders>
              <w:top w:val="nil"/>
              <w:start w:val="nil"/>
              <w:bottom w:val="nil"/>
              <w:end w:val="nil"/>
            </w:tcBorders>
            <w:shd w:fill="auto" w:val="clear"/>
          </w:tcPr>
          <w:p>
            <w:pPr>
              <w:pStyle w:val="style35"/>
              <w:jc w:val="both"/>
              <w:rPr>
                <w:rFonts w:cs="Calibri" w:eastAsia="Calibri"/>
                <w:sz w:val="22"/>
                <w:szCs w:val="22"/>
              </w:rPr>
            </w:pPr>
            <w:r>
              <w:rPr>
                <w:rFonts w:cs="Calibri" w:eastAsia="Calibri"/>
                <w:sz w:val="22"/>
                <w:szCs w:val="22"/>
              </w:rPr>
              <w:drawing>
                <wp:anchor allowOverlap="1" behindDoc="0" distB="0" distL="0" distR="0" distT="0" layoutInCell="1" locked="0" relativeHeight="4" simplePos="0">
                  <wp:simplePos x="0" y="0"/>
                  <wp:positionH relativeFrom="column">
                    <wp:posOffset>116840</wp:posOffset>
                  </wp:positionH>
                  <wp:positionV relativeFrom="paragraph">
                    <wp:posOffset>0</wp:posOffset>
                  </wp:positionV>
                  <wp:extent cx="4019550" cy="1877060"/>
                  <wp:effectExtent b="0" l="0" r="0" t="0"/>
                  <wp:wrapTopAndBottom/>
                  <wp:docPr descr="" id="5" name="Pictur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 name="Picture" title=""/>
                          <pic:cNvPicPr>
                            <a:picLocks noChangeArrowheads="1" noChangeAspect="1"/>
                          </pic:cNvPicPr>
                        </pic:nvPicPr>
                        <pic:blipFill>
                          <a:blip r:embed="rId14"/>
                          <a:srcRect/>
                          <a:stretch>
                            <a:fillRect/>
                          </a:stretch>
                        </pic:blipFill>
                        <pic:spPr bwMode="auto">
                          <a:xfrm>
                            <a:off x="0" y="0"/>
                            <a:ext cx="4019550" cy="1877060"/>
                          </a:xfrm>
                          <a:prstGeom prst="rect">
                            <a:avLst/>
                          </a:prstGeom>
                          <a:noFill/>
                          <a:ln w="9525">
                            <a:noFill/>
                            <a:miter lim="800000"/>
                            <a:headEnd/>
                            <a:tailEnd/>
                          </a:ln>
                        </pic:spPr>
                      </pic:pic>
                    </a:graphicData>
                  </a:graphic>
                </wp:anchor>
              </w:drawing>
            </w:r>
          </w:p>
        </w:tc>
        <w:tc>
          <w:tcPr>
            <w:tcW w:type="dxa" w:w="3963"/>
            <w:tcBorders>
              <w:top w:val="nil"/>
              <w:start w:val="nil"/>
              <w:bottom w:val="nil"/>
              <w:end w:val="nil"/>
            </w:tcBorders>
            <w:shd w:fill="auto" w:val="clear"/>
          </w:tcPr>
          <w:p>
            <w:pPr>
              <w:pStyle w:val="style35"/>
              <w:jc w:val="both"/>
              <w:rPr>
                <w:rFonts w:cs="Calibri" w:eastAsia="Calibri"/>
                <w:sz w:val="22"/>
                <w:szCs w:val="22"/>
              </w:rPr>
            </w:pPr>
            <w:r>
              <w:rPr>
                <w:rFonts w:cs="Calibri" w:eastAsia="Calibri"/>
                <w:sz w:val="22"/>
                <w:szCs w:val="22"/>
              </w:rPr>
              <w:drawing>
                <wp:anchor allowOverlap="1" behindDoc="0" distB="0" distL="0" distR="0" distT="0" layoutInCell="1" locked="0" relativeHeight="5" simplePos="0">
                  <wp:simplePos x="0" y="0"/>
                  <wp:positionH relativeFrom="column">
                    <wp:posOffset>116205</wp:posOffset>
                  </wp:positionH>
                  <wp:positionV relativeFrom="paragraph">
                    <wp:posOffset>276225</wp:posOffset>
                  </wp:positionV>
                  <wp:extent cx="1966595" cy="1706880"/>
                  <wp:effectExtent b="0" l="0" r="0" t="0"/>
                  <wp:wrapTopAndBottom/>
                  <wp:docPr descr="" id="6" name="Pictur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6" name="Picture" title=""/>
                          <pic:cNvPicPr>
                            <a:picLocks noChangeArrowheads="1" noChangeAspect="1"/>
                          </pic:cNvPicPr>
                        </pic:nvPicPr>
                        <pic:blipFill>
                          <a:blip r:embed="rId15"/>
                          <a:srcRect/>
                          <a:stretch>
                            <a:fillRect/>
                          </a:stretch>
                        </pic:blipFill>
                        <pic:spPr bwMode="auto">
                          <a:xfrm>
                            <a:off x="0" y="0"/>
                            <a:ext cx="1966595" cy="1706880"/>
                          </a:xfrm>
                          <a:prstGeom prst="rect">
                            <a:avLst/>
                          </a:prstGeom>
                          <a:noFill/>
                          <a:ln w="9525">
                            <a:noFill/>
                            <a:miter lim="800000"/>
                            <a:headEnd/>
                            <a:tailEnd/>
                          </a:ln>
                        </pic:spPr>
                      </pic:pic>
                    </a:graphicData>
                  </a:graphic>
                </wp:anchor>
              </w:drawing>
            </w:r>
          </w:p>
        </w:tc>
      </w:tr>
    </w:tbl>
    <w:p>
      <w:pPr>
        <w:pStyle w:val="style0"/>
        <w:jc w:val="both"/>
        <w:rPr>
          <w:rFonts w:cs="Calibri" w:eastAsia="Calibri"/>
          <w:b w:val="false"/>
          <w:bCs w:val="false"/>
          <w:sz w:val="22"/>
          <w:szCs w:val="22"/>
          <w:u w:val="none"/>
        </w:rPr>
      </w:pPr>
      <w:r>
        <w:rPr>
          <w:rFonts w:cs="Calibri" w:eastAsia="Calibri"/>
          <w:b w:val="false"/>
          <w:bCs w:val="false"/>
          <w:sz w:val="22"/>
          <w:szCs w:val="22"/>
          <w:u w:val="none"/>
        </w:rPr>
      </w:r>
    </w:p>
    <w:p>
      <w:pPr>
        <w:pStyle w:val="style0"/>
        <w:autoSpaceDE w:val="false"/>
        <w:spacing w:line="100" w:lineRule="atLeast"/>
        <w:rPr>
          <w:rFonts w:cs="Calibri" w:eastAsia="Calibri"/>
          <w:b/>
          <w:bCs/>
          <w:sz w:val="22"/>
          <w:szCs w:val="22"/>
          <w:u w:val="single"/>
        </w:rPr>
      </w:pPr>
      <w:r>
        <w:rPr>
          <w:rFonts w:cs="Calibri" w:eastAsia="Calibri"/>
          <w:b/>
          <w:bCs/>
          <w:sz w:val="22"/>
          <w:szCs w:val="22"/>
          <w:u w:val="single"/>
        </w:rPr>
        <w:t>Document B : Chômage : pourquoi les chiffres sont piégés, site Le Figaro, Jean-Yves Archer – 27/10/2015</w:t>
      </w:r>
    </w:p>
    <w:p>
      <w:pPr>
        <w:pStyle w:val="style30"/>
        <w:autoSpaceDE w:val="false"/>
        <w:spacing w:line="100" w:lineRule="atLeast"/>
        <w:rPr>
          <w:sz w:val="22"/>
          <w:szCs w:val="22"/>
        </w:rPr>
      </w:pPr>
      <w:r>
        <w:rPr>
          <w:rFonts w:cs="Calibri" w:eastAsia="Calibri"/>
          <w:sz w:val="22"/>
          <w:szCs w:val="22"/>
        </w:rPr>
        <w:t xml:space="preserve">Par-delà l'économie, il y a l'humanisme. A ce titre, voir une décrue du chômage est toujours - et nécessairement - une satisfaction. En ce lundi de fin du mois d'octobre, nous avons appris que près de 24 000 personnes avaient renoué avec l'emploi et ainsi pu quitter les affres du chômage. </w:t>
      </w:r>
      <w:r>
        <w:rPr>
          <w:sz w:val="22"/>
          <w:szCs w:val="22"/>
        </w:rPr>
        <w:t>Mais l'humanisme n'exclut en rien la lucidité et alors le tableau devient plus sombre. [...]</w:t>
      </w:r>
    </w:p>
    <w:p>
      <w:pPr>
        <w:pStyle w:val="style30"/>
        <w:autoSpaceDE w:val="false"/>
        <w:spacing w:line="100" w:lineRule="atLeast"/>
        <w:rPr>
          <w:rFonts w:cs="Calibri" w:eastAsia="Calibri"/>
          <w:sz w:val="22"/>
          <w:szCs w:val="22"/>
        </w:rPr>
      </w:pPr>
      <w:r>
        <w:rPr>
          <w:rFonts w:cs="Calibri" w:eastAsia="Calibri"/>
          <w:sz w:val="22"/>
          <w:szCs w:val="22"/>
        </w:rPr>
        <w:t>Certains commentateurs et certains économistes émettent des propos dignes de fin de réveillon. Selon eux, «le bout du tunnel «serait en vue.</w:t>
      </w:r>
    </w:p>
    <w:p>
      <w:pPr>
        <w:pStyle w:val="style30"/>
        <w:spacing w:line="100" w:lineRule="atLeast"/>
        <w:rPr>
          <w:sz w:val="22"/>
          <w:szCs w:val="22"/>
          <w:shd w:fill="auto" w:val="clear"/>
        </w:rPr>
      </w:pPr>
      <w:r>
        <w:rPr>
          <w:sz w:val="22"/>
          <w:szCs w:val="22"/>
        </w:rPr>
        <w:t xml:space="preserve">Après analyse des documents d'activité prévisionnelle de grands groupes et de PME portant sur l'année 2016, il est clair que nous sommes en face d'un retournement de conjoncture. Après examen des propos de Madame Yellen (FED) et du </w:t>
      </w:r>
      <w:r>
        <w:rPr>
          <w:sz w:val="22"/>
          <w:szCs w:val="22"/>
          <w:shd w:fill="auto" w:val="clear"/>
        </w:rPr>
        <w:t>Président Draghi (BCE) [..], il est avéré que les chiffres de la croissance pour 2016 doivent être revus à la baisse.</w:t>
      </w:r>
    </w:p>
    <w:p>
      <w:pPr>
        <w:pStyle w:val="style30"/>
        <w:spacing w:line="100" w:lineRule="atLeast"/>
        <w:rPr>
          <w:sz w:val="22"/>
          <w:szCs w:val="22"/>
          <w:shd w:fill="auto" w:val="clear"/>
        </w:rPr>
      </w:pPr>
      <w:r>
        <w:rPr>
          <w:sz w:val="22"/>
          <w:szCs w:val="22"/>
          <w:shd w:fill="auto" w:val="clear"/>
        </w:rPr>
        <w:t>Nous assistons à une évaporation de croissance dans plusieurs grandes zones économiques. Les États-Unis enregistrent un faux-plat. La Russie est en récession (PIB - 4%). La Chine décélère avec brutalité et se tourne davantage vers son marché intérieur. Plusieurs pays émergents entrent en récession, à l'image du Brésil dont le PIB devrait reculer de 3,8% en 2015.</w:t>
      </w:r>
    </w:p>
    <w:p>
      <w:pPr>
        <w:pStyle w:val="style30"/>
        <w:spacing w:line="100" w:lineRule="atLeast"/>
        <w:rPr>
          <w:sz w:val="22"/>
          <w:szCs w:val="22"/>
          <w:shd w:fill="auto" w:val="clear"/>
        </w:rPr>
      </w:pPr>
      <w:r>
        <w:rPr>
          <w:sz w:val="22"/>
          <w:szCs w:val="22"/>
          <w:shd w:fill="auto" w:val="clear"/>
        </w:rPr>
        <w:t>En ce qui concerne la France, la croissance molle attendue en 2015 devrait se reproduire en 2016. Ainsi, la croissance du PIB pourrait se cantonner autour de 1 % au lieu des 1,5%. Ceci s'expliquerait aussi par un moindre dynamisme allemand issu d'exportations moins vives et du contre-choc global que traverse l'industrie automobile depuis l'affaire VW.</w:t>
      </w:r>
    </w:p>
    <w:p>
      <w:pPr>
        <w:pStyle w:val="style30"/>
        <w:spacing w:line="100" w:lineRule="atLeast"/>
        <w:rPr>
          <w:sz w:val="22"/>
          <w:szCs w:val="22"/>
          <w:shd w:fill="auto" w:val="clear"/>
        </w:rPr>
      </w:pPr>
      <w:r>
        <w:rPr>
          <w:sz w:val="22"/>
          <w:szCs w:val="22"/>
          <w:shd w:fill="auto" w:val="clear"/>
        </w:rPr>
        <w:t>Évoquant la faiblesse de l'investissement, le nouveau chef économiste du FMI, Maurice Obstfeld, vient de déclarer que: «l'anticipation d'une faible croissance potentielle elle-même pèse sur la demande globale, ce qui freine davantage l'investissement: c'est un cercle vicieux.».</w:t>
      </w:r>
    </w:p>
    <w:p>
      <w:pPr>
        <w:pStyle w:val="style30"/>
        <w:spacing w:line="100" w:lineRule="atLeast"/>
        <w:rPr>
          <w:sz w:val="22"/>
          <w:szCs w:val="22"/>
          <w:shd w:fill="auto" w:val="clear"/>
        </w:rPr>
      </w:pPr>
      <w:r>
        <w:rPr>
          <w:sz w:val="22"/>
          <w:szCs w:val="22"/>
          <w:shd w:fill="auto" w:val="clear"/>
        </w:rPr>
        <w:t>Le fait que l'Unedic ne prévoit qu'un recul du chômage de l'ordre de 51.000 demandeurs d'emplois en 2016 est un fort indice de la vivacité du piège dans lequel se débattent des centaines de milliers de femmes et d'hommes à commencer par les seniors.</w:t>
      </w:r>
    </w:p>
    <w:p>
      <w:pPr>
        <w:pStyle w:val="style0"/>
        <w:autoSpaceDE w:val="false"/>
        <w:spacing w:line="100" w:lineRule="atLeast"/>
        <w:rPr>
          <w:rFonts w:cs="Calibri" w:eastAsia="Calibri"/>
          <w:sz w:val="22"/>
          <w:szCs w:val="22"/>
          <w:shd w:fill="auto" w:val="clear"/>
        </w:rPr>
      </w:pPr>
      <w:r>
        <w:rPr>
          <w:rFonts w:cs="Calibri" w:eastAsia="Calibri"/>
          <w:sz w:val="22"/>
          <w:szCs w:val="22"/>
          <w:shd w:fill="auto" w:val="clear"/>
        </w:rPr>
      </w:r>
    </w:p>
    <w:p>
      <w:pPr>
        <w:pStyle w:val="style0"/>
        <w:autoSpaceDE w:val="false"/>
        <w:rPr>
          <w:rFonts w:cs="Calibri" w:eastAsia="Calibri"/>
          <w:b/>
          <w:bCs/>
          <w:sz w:val="22"/>
          <w:szCs w:val="22"/>
          <w:u w:val="single"/>
          <w:shd w:fill="auto" w:val="clear"/>
        </w:rPr>
      </w:pPr>
      <w:r>
        <w:rPr>
          <w:rFonts w:cs="Calibri" w:eastAsia="Calibri"/>
          <w:b/>
          <w:bCs/>
          <w:sz w:val="22"/>
          <w:szCs w:val="22"/>
          <w:u w:val="single"/>
          <w:shd w:fill="auto" w:val="clear"/>
        </w:rPr>
        <w:t>Document C : Publication de l'OCDE : Évaluation des mesures prises par la France – Sept 2015</w:t>
      </w:r>
    </w:p>
    <w:p>
      <w:pPr>
        <w:pStyle w:val="style0"/>
        <w:autoSpaceDE w:val="false"/>
        <w:jc w:val="both"/>
        <w:rPr>
          <w:rFonts w:cs="Calibri" w:eastAsia="Calibri"/>
          <w:sz w:val="22"/>
          <w:szCs w:val="22"/>
        </w:rPr>
      </w:pPr>
      <w:r>
        <w:rPr>
          <w:rFonts w:cs="Calibri" w:eastAsia="Calibri"/>
          <w:sz w:val="22"/>
          <w:szCs w:val="22"/>
          <w:shd w:fill="auto" w:val="clear"/>
        </w:rPr>
        <w:t>Les mesures de la loi pour la croissance, l’activité et l’égalité des chances économiques devraient continuer à améliorer la croissance, l’équité et l’emploi. L’impact sur le PIB potentiel de [...] ces mesures qui ont pu être quantifiées par l’OCDE pourrait être de l’ordre de + 0.3 % à un horizon de 5 ans et de + 0.4 % à un horizon de 10 ans. Ce total comprend la quantification des mesures suivantes : La réforme des professions réglementées, l’ouverture des commerces le dimanche et en soirée, la facilitation de l’ouverture des dessertes par autocars , […] et l’amélioration des procédures de permis de conduire. Afin de s’assurer du plein impact de ces mesures, le gouvernement doit mettre en œuvre et communiquer efficacement ces mesures pour augmenter la confiance des entreprises et des ménages dans le processus de réformes et entreprendre de nouvelles réformes structurelles, notamment pour améliorer le fonctionn</w:t>
      </w:r>
      <w:r>
        <w:rPr>
          <w:rFonts w:cs="Calibri" w:eastAsia="Calibri"/>
          <w:sz w:val="22"/>
          <w:szCs w:val="22"/>
        </w:rPr>
        <w:t xml:space="preserve">ement du marché du travail. </w:t>
      </w:r>
    </w:p>
    <w:p>
      <w:pPr>
        <w:pStyle w:val="style0"/>
        <w:autoSpaceDE w:val="false"/>
        <w:rPr>
          <w:rFonts w:ascii="Calibri" w:cs="Calibri" w:eastAsia="Calibri" w:hAnsi="Calibri"/>
          <w:sz w:val="20"/>
          <w:szCs w:val="20"/>
        </w:rPr>
      </w:pPr>
      <w:r>
        <w:rPr>
          <w:rFonts w:ascii="Calibri" w:cs="Calibri" w:eastAsia="Calibri" w:hAnsi="Calibri"/>
          <w:sz w:val="20"/>
          <w:szCs w:val="20"/>
        </w:rPr>
      </w:r>
    </w:p>
    <w:p>
      <w:pPr>
        <w:pStyle w:val="style0"/>
        <w:jc w:val="center"/>
        <w:rPr>
          <w:rFonts w:ascii="Arial Black" w:hAnsi="Arial Black"/>
          <w:b/>
          <w:bCs/>
          <w:u w:val="single"/>
        </w:rPr>
      </w:pPr>
      <w:r>
        <w:rPr>
          <w:rFonts w:ascii="Arial Black" w:hAnsi="Arial Black"/>
          <w:b/>
          <w:bCs/>
          <w:u w:val="single"/>
        </w:rPr>
        <w:t xml:space="preserve">Groupe 4 : Les économistes du ministère du travail </w:t>
      </w:r>
    </w:p>
    <w:p>
      <w:pPr>
        <w:pStyle w:val="style0"/>
        <w:rPr>
          <w:b/>
          <w:bCs/>
          <w:sz w:val="22"/>
          <w:szCs w:val="22"/>
          <w:u w:val="single"/>
        </w:rPr>
      </w:pPr>
      <w:r>
        <w:rPr>
          <w:b/>
          <w:bCs/>
          <w:sz w:val="22"/>
          <w:szCs w:val="22"/>
          <w:u w:val="single"/>
        </w:rPr>
      </w:r>
    </w:p>
    <w:p>
      <w:pPr>
        <w:pStyle w:val="style0"/>
        <w:rPr>
          <w:rFonts w:cs="Calibri" w:eastAsia="Calibri"/>
          <w:b/>
          <w:bCs/>
          <w:sz w:val="22"/>
          <w:szCs w:val="22"/>
          <w:u w:val="single"/>
        </w:rPr>
      </w:pPr>
      <w:r>
        <w:rPr>
          <w:rFonts w:cs="Calibri" w:eastAsia="Calibri"/>
          <w:b/>
          <w:bCs/>
          <w:sz w:val="22"/>
          <w:szCs w:val="22"/>
          <w:u w:val="single"/>
        </w:rPr>
        <w:t>Document A : Les Rencontres économiques – Réformer le marché du travail ? Sept 2015 (Extrait)</w:t>
      </w:r>
    </w:p>
    <w:p>
      <w:pPr>
        <w:pStyle w:val="style0"/>
        <w:jc w:val="both"/>
        <w:rPr>
          <w:rFonts w:cs="Calibri" w:eastAsia="Calibri"/>
          <w:b w:val="false"/>
          <w:bCs w:val="false"/>
          <w:sz w:val="22"/>
          <w:szCs w:val="22"/>
          <w:u w:val="none"/>
          <w:shd w:fill="auto" w:val="clear"/>
        </w:rPr>
      </w:pPr>
      <w:r>
        <w:rPr>
          <w:rFonts w:cs="Calibri" w:eastAsia="Calibri"/>
          <w:b w:val="false"/>
          <w:bCs w:val="false"/>
          <w:sz w:val="22"/>
          <w:szCs w:val="22"/>
          <w:u w:val="none"/>
          <w:shd w:fill="auto" w:val="clear"/>
        </w:rPr>
        <w:t xml:space="preserve">Alors que la situation du </w:t>
      </w:r>
      <w:r>
        <w:rPr>
          <w:rFonts w:cs="Calibri" w:eastAsia="Calibri"/>
          <w:b w:val="false"/>
          <w:bCs w:val="false"/>
          <w:sz w:val="22"/>
          <w:szCs w:val="22"/>
          <w:u w:val="none"/>
          <w:shd w:fill="auto" w:val="clear"/>
        </w:rPr>
        <w:t>chômage interpelle les responsables politiques, le rapport (de Jean‐Denis Combrexelle « La négociation collective, le travail et l’emploi ») propose d’agir contre le chômage en proposant des orientations pour aménager le Code du Travail. Selon les préconisations du rapport, une place plus large serait accordée à la négociation collective et les normes du droit du travail seraient réformées.</w:t>
      </w:r>
    </w:p>
    <w:p>
      <w:pPr>
        <w:pStyle w:val="style0"/>
        <w:jc w:val="both"/>
        <w:rPr>
          <w:rFonts w:cs="Calibri" w:eastAsia="Calibri"/>
          <w:sz w:val="22"/>
          <w:szCs w:val="22"/>
          <w:shd w:fill="auto" w:val="clear"/>
        </w:rPr>
      </w:pPr>
      <w:r>
        <w:rPr>
          <w:rFonts w:cs="Calibri" w:eastAsia="Calibri"/>
          <w:b w:val="false"/>
          <w:bCs w:val="false"/>
          <w:sz w:val="22"/>
          <w:szCs w:val="22"/>
          <w:u w:val="none"/>
          <w:shd w:fill="auto" w:val="clear"/>
        </w:rPr>
        <w:t xml:space="preserve">La question de la simplification du droit du travail liée à la nécessité de lutter contre le chômage se pose du fait </w:t>
      </w:r>
      <w:r>
        <w:rPr>
          <w:rFonts w:cs="Calibri" w:eastAsia="Calibri"/>
          <w:b w:val="false"/>
          <w:bCs w:val="false"/>
          <w:sz w:val="22"/>
          <w:szCs w:val="22"/>
          <w:u w:val="none"/>
          <w:shd w:fill="auto" w:val="clear"/>
        </w:rPr>
        <w:t xml:space="preserve">que les acteurs doivent maîtriser les règles applicables, et disposer d’une vision sécurisée de leurs conséquences, notamment en cas de recours au juge. </w:t>
      </w:r>
      <w:r>
        <w:rPr>
          <w:rFonts w:cs="Calibri" w:eastAsia="Calibri"/>
          <w:sz w:val="22"/>
          <w:szCs w:val="22"/>
          <w:shd w:fill="auto" w:val="clear"/>
        </w:rPr>
        <w:t>La nature des règles est également un élément à retenir. Les entrepreneurs (et même les syndicats européens) les jugent trop complexes.</w:t>
      </w:r>
    </w:p>
    <w:p>
      <w:pPr>
        <w:pStyle w:val="style0"/>
        <w:jc w:val="both"/>
        <w:rPr>
          <w:rFonts w:cs="Calibri" w:eastAsia="Calibri"/>
          <w:b w:val="false"/>
          <w:bCs w:val="false"/>
          <w:sz w:val="22"/>
          <w:szCs w:val="22"/>
          <w:u w:val="none"/>
        </w:rPr>
      </w:pPr>
      <w:r>
        <w:rPr>
          <w:rFonts w:cs="Calibri" w:eastAsia="Calibri"/>
          <w:b w:val="false"/>
          <w:bCs w:val="false"/>
          <w:sz w:val="22"/>
          <w:szCs w:val="22"/>
          <w:u w:val="none"/>
          <w:shd w:fill="auto" w:val="clear"/>
        </w:rPr>
        <w:t xml:space="preserve">Le rôle des partenaires sociaux est important pour assurer de bonnes négociations au niveau des entreprises et </w:t>
      </w:r>
      <w:r>
        <w:rPr>
          <w:rFonts w:cs="Calibri" w:eastAsia="Calibri"/>
          <w:b w:val="false"/>
          <w:bCs w:val="false"/>
          <w:sz w:val="22"/>
          <w:szCs w:val="22"/>
          <w:u w:val="none"/>
          <w:shd w:fill="auto" w:val="clear"/>
        </w:rPr>
        <w:t>des secteurs. […] Une gestion constructive, sur le mode coopératif tel qu’il pratiqué en Suède, en Finlande ou au Danemark, permet de mettre en œuvre des accords efficaces. Les gouvernements ne devraient avoir aucun rôle à jouer en matière de dialogue social, car leurs propositions sont moins efficaces que les accords négociés entre partenaires sociaux : ceux‐ci sont en effet sur le terrain, connaissent l’entreprise et ses concurrents, e</w:t>
      </w:r>
      <w:r>
        <w:rPr>
          <w:rFonts w:cs="Calibri" w:eastAsia="Calibri"/>
          <w:b w:val="false"/>
          <w:bCs w:val="false"/>
          <w:sz w:val="22"/>
          <w:szCs w:val="22"/>
          <w:u w:val="none"/>
        </w:rPr>
        <w:t xml:space="preserve">t sont à même de traiter des questions comme l’évolution salariale ou la formation professionnelle. </w:t>
      </w:r>
    </w:p>
    <w:p>
      <w:pPr>
        <w:pStyle w:val="style0"/>
        <w:rPr>
          <w:b/>
          <w:bCs/>
          <w:sz w:val="16"/>
          <w:szCs w:val="16"/>
          <w:u w:val="single"/>
        </w:rPr>
      </w:pPr>
      <w:r>
        <w:rPr>
          <w:b/>
          <w:bCs/>
          <w:sz w:val="16"/>
          <w:szCs w:val="16"/>
          <w:u w:val="single"/>
        </w:rPr>
      </w:r>
    </w:p>
    <w:tbl>
      <w:tblPr>
        <w:tblW w:type="dxa" w:w="10772"/>
        <w:jc w:val="start"/>
        <w:tblInd w:type="dxa" w:w="55"/>
        <w:tblBorders>
          <w:top w:val="nil"/>
          <w:start w:val="nil"/>
          <w:bottom w:val="nil"/>
          <w:insideH w:val="nil"/>
          <w:end w:val="nil"/>
          <w:insideV w:val="nil"/>
        </w:tblBorders>
        <w:tblCellMar>
          <w:top w:type="dxa" w:w="55"/>
          <w:start w:type="dxa" w:w="55"/>
          <w:bottom w:type="dxa" w:w="55"/>
          <w:end w:type="dxa" w:w="55"/>
        </w:tblCellMar>
      </w:tblPr>
      <w:tblGrid>
        <w:gridCol w:w="5385"/>
        <w:gridCol w:w="5387"/>
      </w:tblGrid>
      <w:tr>
        <w:trPr>
          <w:trHeight w:hRule="atLeast" w:val="10350"/>
          <w:cantSplit w:val="false"/>
        </w:trPr>
        <w:tc>
          <w:tcPr>
            <w:tcW w:type="dxa" w:w="5385"/>
            <w:tcBorders>
              <w:top w:val="nil"/>
              <w:start w:val="nil"/>
              <w:bottom w:val="nil"/>
              <w:end w:val="nil"/>
            </w:tcBorders>
            <w:shd w:fill="auto" w:val="clear"/>
          </w:tcPr>
          <w:p>
            <w:pPr>
              <w:pStyle w:val="style0"/>
              <w:jc w:val="start"/>
              <w:rPr>
                <w:b/>
                <w:i w:val="false"/>
                <w:caps w:val="false"/>
                <w:smallCaps w:val="false"/>
                <w:color w:val="000000"/>
                <w:spacing w:val="0"/>
                <w:sz w:val="22"/>
                <w:szCs w:val="22"/>
                <w:u w:val="single"/>
              </w:rPr>
            </w:pPr>
            <w:r>
              <w:rPr>
                <w:b/>
                <w:bCs/>
                <w:sz w:val="22"/>
                <w:szCs w:val="22"/>
                <w:u w:val="single"/>
              </w:rPr>
              <w:t xml:space="preserve">Document B : </w:t>
            </w:r>
            <w:r>
              <w:rPr>
                <w:b/>
                <w:i w:val="false"/>
                <w:caps w:val="false"/>
                <w:smallCaps w:val="false"/>
                <w:color w:val="000000"/>
                <w:spacing w:val="0"/>
                <w:sz w:val="22"/>
                <w:szCs w:val="22"/>
                <w:u w:val="single"/>
              </w:rPr>
              <w:t>Projet de loi El Khomri : vers un assouplissement des 35 heures. Site du Midi Libre – 17/02/2016</w:t>
            </w:r>
          </w:p>
          <w:p>
            <w:pPr>
              <w:pStyle w:val="style0"/>
              <w:rPr>
                <w:b/>
                <w:i w:val="false"/>
                <w:caps w:val="false"/>
                <w:smallCaps w:val="false"/>
                <w:color w:val="000000"/>
                <w:spacing w:val="0"/>
                <w:sz w:val="14"/>
                <w:szCs w:val="14"/>
                <w:u w:val="single"/>
              </w:rPr>
            </w:pPr>
            <w:r>
              <w:rPr>
                <w:b/>
                <w:i w:val="false"/>
                <w:caps w:val="false"/>
                <w:smallCaps w:val="false"/>
                <w:color w:val="000000"/>
                <w:spacing w:val="0"/>
                <w:sz w:val="14"/>
                <w:szCs w:val="14"/>
                <w:u w:val="single"/>
              </w:rPr>
              <w:drawing>
                <wp:anchor allowOverlap="1" behindDoc="0" distB="0" distL="0" distR="0" distT="0" layoutInCell="1" locked="0" relativeHeight="6" simplePos="0">
                  <wp:simplePos x="0" y="0"/>
                  <wp:positionH relativeFrom="column">
                    <wp:posOffset>97155</wp:posOffset>
                  </wp:positionH>
                  <wp:positionV relativeFrom="paragraph">
                    <wp:posOffset>0</wp:posOffset>
                  </wp:positionV>
                  <wp:extent cx="3154680" cy="5962015"/>
                  <wp:effectExtent b="0" l="0" r="0" t="0"/>
                  <wp:wrapTopAndBottom/>
                  <wp:docPr descr="" id="7" name="Pictur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7" name="Picture" title=""/>
                          <pic:cNvPicPr>
                            <a:picLocks noChangeArrowheads="1" noChangeAspect="1"/>
                          </pic:cNvPicPr>
                        </pic:nvPicPr>
                        <pic:blipFill>
                          <a:blip r:embed="rId16"/>
                          <a:srcRect/>
                          <a:stretch>
                            <a:fillRect/>
                          </a:stretch>
                        </pic:blipFill>
                        <pic:spPr bwMode="auto">
                          <a:xfrm>
                            <a:off x="0" y="0"/>
                            <a:ext cx="3154680" cy="5962015"/>
                          </a:xfrm>
                          <a:prstGeom prst="rect">
                            <a:avLst/>
                          </a:prstGeom>
                          <a:noFill/>
                          <a:ln w="9525">
                            <a:noFill/>
                            <a:miter lim="800000"/>
                            <a:headEnd/>
                            <a:tailEnd/>
                          </a:ln>
                        </pic:spPr>
                      </pic:pic>
                    </a:graphicData>
                  </a:graphic>
                </wp:anchor>
              </w:drawing>
            </w:r>
          </w:p>
        </w:tc>
        <w:tc>
          <w:tcPr>
            <w:tcW w:type="dxa" w:w="5387"/>
            <w:tcBorders>
              <w:top w:val="nil"/>
              <w:start w:val="nil"/>
              <w:bottom w:val="nil"/>
              <w:end w:val="nil"/>
            </w:tcBorders>
            <w:shd w:fill="auto" w:val="clear"/>
          </w:tcPr>
          <w:p>
            <w:pPr>
              <w:pStyle w:val="style0"/>
              <w:jc w:val="both"/>
              <w:rPr>
                <w:b/>
                <w:bCs/>
                <w:sz w:val="22"/>
                <w:szCs w:val="22"/>
                <w:u w:val="single"/>
              </w:rPr>
            </w:pPr>
            <w:r>
              <w:rPr>
                <w:b/>
                <w:bCs/>
                <w:sz w:val="22"/>
                <w:szCs w:val="22"/>
                <w:u w:val="single"/>
              </w:rPr>
              <w:t>Document C : Loi travail : zoom sur un pays qui a déjà fait la réforme : l'Espagne (Extrait) – Site de presse Sud Ouest – 28 avril 2016</w:t>
            </w:r>
          </w:p>
          <w:p>
            <w:pPr>
              <w:pStyle w:val="style0"/>
              <w:rPr>
                <w:b/>
                <w:bCs/>
                <w:sz w:val="16"/>
                <w:szCs w:val="16"/>
                <w:u w:val="single"/>
              </w:rPr>
            </w:pPr>
            <w:r>
              <w:rPr>
                <w:b/>
                <w:bCs/>
                <w:sz w:val="16"/>
                <w:szCs w:val="16"/>
                <w:u w:val="single"/>
              </w:rPr>
            </w:r>
          </w:p>
          <w:p>
            <w:pPr>
              <w:pStyle w:val="style30"/>
              <w:widowControl/>
              <w:pBdr>
                <w:top w:val="nil"/>
                <w:left w:val="nil"/>
                <w:bottom w:val="nil"/>
                <w:insideH w:val="nil"/>
                <w:right w:val="nil"/>
                <w:insideV w:val="nil"/>
              </w:pBdr>
              <w:spacing w:after="0" w:before="0" w:line="100" w:lineRule="atLeast"/>
              <w:ind w:end="150" w:hanging="0" w:start="0"/>
              <w:contextualSpacing w:val="false"/>
              <w:jc w:val="both"/>
              <w:rPr>
                <w:b w:val="false"/>
                <w:bCs w:val="false"/>
                <w:i w:val="false"/>
                <w:caps w:val="false"/>
                <w:smallCaps w:val="false"/>
                <w:color w:val="auto"/>
                <w:spacing w:val="0"/>
                <w:sz w:val="22"/>
                <w:szCs w:val="22"/>
                <w:u w:val="none"/>
              </w:rPr>
            </w:pPr>
            <w:r>
              <w:rPr>
                <w:b w:val="false"/>
                <w:bCs w:val="false"/>
                <w:i w:val="false"/>
                <w:caps w:val="false"/>
                <w:smallCaps w:val="false"/>
                <w:color w:val="auto"/>
                <w:spacing w:val="0"/>
                <w:sz w:val="22"/>
                <w:szCs w:val="22"/>
                <w:u w:val="none"/>
              </w:rPr>
              <w:t>En 2012, lorsque le Parti [...] de</w:t>
            </w:r>
            <w:r>
              <w:rPr>
                <w:rStyle w:val="style28"/>
                <w:b w:val="false"/>
                <w:bCs w:val="false"/>
                <w:i w:val="false"/>
                <w:caps w:val="false"/>
                <w:smallCaps w:val="false"/>
                <w:color w:val="auto"/>
                <w:spacing w:val="0"/>
                <w:sz w:val="22"/>
                <w:szCs w:val="22"/>
                <w:u w:val="none"/>
              </w:rPr>
              <w:t> Mariano Rajoy </w:t>
            </w:r>
            <w:r>
              <w:rPr>
                <w:b w:val="false"/>
                <w:bCs w:val="false"/>
                <w:i w:val="false"/>
                <w:caps w:val="false"/>
                <w:smallCaps w:val="false"/>
                <w:color w:val="auto"/>
                <w:spacing w:val="0"/>
                <w:sz w:val="22"/>
                <w:szCs w:val="22"/>
                <w:u w:val="none"/>
              </w:rPr>
              <w:t>remporte les élections, l'Espagne était dans une situation bien plus catastrophique que la France</w:t>
            </w:r>
            <w:r>
              <w:rPr>
                <w:rStyle w:val="style28"/>
                <w:b w:val="false"/>
                <w:bCs w:val="false"/>
                <w:i w:val="false"/>
                <w:caps w:val="false"/>
                <w:smallCaps w:val="false"/>
                <w:color w:val="auto"/>
                <w:spacing w:val="0"/>
                <w:sz w:val="22"/>
                <w:szCs w:val="22"/>
                <w:u w:val="none"/>
              </w:rPr>
              <w:t>.</w:t>
            </w:r>
            <w:r>
              <w:rPr>
                <w:b w:val="false"/>
                <w:bCs w:val="false"/>
                <w:i w:val="false"/>
                <w:caps w:val="false"/>
                <w:smallCaps w:val="false"/>
                <w:color w:val="auto"/>
                <w:spacing w:val="0"/>
                <w:sz w:val="22"/>
                <w:szCs w:val="22"/>
                <w:u w:val="none"/>
              </w:rPr>
              <w:t xml:space="preserve"> […] </w:t>
            </w:r>
            <w:hyperlink r:id="rId17">
              <w:r>
                <w:rPr>
                  <w:rStyle w:val="style25"/>
                </w:rPr>
                <w:t>Rajoy a mis en place sa réforme du travail</w:t>
              </w:r>
            </w:hyperlink>
            <w:r>
              <w:rPr>
                <w:b w:val="false"/>
                <w:bCs w:val="false"/>
                <w:i w:val="false"/>
                <w:caps w:val="false"/>
                <w:smallCaps w:val="false"/>
                <w:color w:val="auto"/>
                <w:spacing w:val="0"/>
                <w:sz w:val="22"/>
                <w:szCs w:val="22"/>
                <w:u w:val="none"/>
              </w:rPr>
              <w:t> (Reforma laboral), approuvée en février 2012, avec un </w:t>
            </w:r>
            <w:r>
              <w:rPr>
                <w:rStyle w:val="style28"/>
                <w:b w:val="false"/>
                <w:bCs w:val="false"/>
                <w:i w:val="false"/>
                <w:caps w:val="false"/>
                <w:smallCaps w:val="false"/>
                <w:color w:val="auto"/>
                <w:spacing w:val="0"/>
                <w:sz w:val="22"/>
                <w:szCs w:val="22"/>
                <w:u w:val="none"/>
              </w:rPr>
              <w:t>double objectif</w:t>
            </w:r>
            <w:r>
              <w:rPr>
                <w:b w:val="false"/>
                <w:bCs w:val="false"/>
                <w:i w:val="false"/>
                <w:caps w:val="false"/>
                <w:smallCaps w:val="false"/>
                <w:color w:val="auto"/>
                <w:spacing w:val="0"/>
                <w:sz w:val="22"/>
                <w:szCs w:val="22"/>
                <w:u w:val="none"/>
              </w:rPr>
              <w:t xml:space="preserve"> : </w:t>
            </w:r>
            <w:r>
              <w:rPr>
                <w:rStyle w:val="style28"/>
                <w:b w:val="false"/>
                <w:bCs w:val="false"/>
                <w:i w:val="false"/>
                <w:caps w:val="false"/>
                <w:smallCaps w:val="false"/>
                <w:color w:val="auto"/>
                <w:spacing w:val="0"/>
                <w:sz w:val="22"/>
                <w:szCs w:val="22"/>
                <w:u w:val="none"/>
              </w:rPr>
              <w:t>flexibiliser </w:t>
            </w:r>
            <w:r>
              <w:rPr>
                <w:b w:val="false"/>
                <w:bCs w:val="false"/>
                <w:i w:val="false"/>
                <w:caps w:val="false"/>
                <w:smallCaps w:val="false"/>
                <w:color w:val="auto"/>
                <w:spacing w:val="0"/>
                <w:sz w:val="22"/>
                <w:szCs w:val="22"/>
                <w:u w:val="none"/>
              </w:rPr>
              <w:t>le marché de l'emploi et</w:t>
            </w:r>
            <w:r>
              <w:rPr>
                <w:rStyle w:val="style28"/>
                <w:b w:val="false"/>
                <w:bCs w:val="false"/>
                <w:i w:val="false"/>
                <w:caps w:val="false"/>
                <w:smallCaps w:val="false"/>
                <w:color w:val="auto"/>
                <w:spacing w:val="0"/>
                <w:sz w:val="22"/>
                <w:szCs w:val="22"/>
                <w:u w:val="none"/>
              </w:rPr>
              <w:t> faciliter l'embauche</w:t>
            </w:r>
            <w:r>
              <w:rPr>
                <w:b w:val="false"/>
                <w:bCs w:val="false"/>
                <w:i w:val="false"/>
                <w:caps w:val="false"/>
                <w:smallCaps w:val="false"/>
                <w:color w:val="auto"/>
                <w:spacing w:val="0"/>
                <w:sz w:val="22"/>
                <w:szCs w:val="22"/>
                <w:u w:val="none"/>
              </w:rPr>
              <w:t> pour permettre à l'entreprise de s'adapter aux changements et de relever les défis de la compétitivité.</w:t>
            </w:r>
          </w:p>
          <w:p>
            <w:pPr>
              <w:pStyle w:val="style0"/>
              <w:spacing w:line="100" w:lineRule="atLeast"/>
              <w:jc w:val="both"/>
              <w:rPr>
                <w:b w:val="false"/>
                <w:bCs w:val="false"/>
                <w:color w:val="auto"/>
                <w:sz w:val="22"/>
                <w:szCs w:val="22"/>
                <w:u w:val="none"/>
              </w:rPr>
            </w:pPr>
            <w:r>
              <w:rPr>
                <w:b w:val="false"/>
                <w:bCs w:val="false"/>
                <w:color w:val="auto"/>
                <w:sz w:val="22"/>
                <w:szCs w:val="22"/>
                <w:u w:val="none"/>
              </w:rPr>
            </w:r>
          </w:p>
          <w:p>
            <w:pPr>
              <w:pStyle w:val="style30"/>
              <w:spacing w:line="100" w:lineRule="atLeast"/>
              <w:jc w:val="both"/>
              <w:rPr>
                <w:b w:val="false"/>
                <w:bCs w:val="false"/>
                <w:i w:val="false"/>
                <w:caps w:val="false"/>
                <w:smallCaps w:val="false"/>
                <w:color w:val="auto"/>
                <w:spacing w:val="0"/>
                <w:sz w:val="22"/>
                <w:szCs w:val="22"/>
                <w:u w:val="none"/>
                <w:shd w:fill="auto" w:val="clear"/>
              </w:rPr>
            </w:pPr>
            <w:r>
              <w:rPr>
                <w:rStyle w:val="style28"/>
                <w:b/>
                <w:bCs/>
                <w:i w:val="false"/>
                <w:caps w:val="false"/>
                <w:smallCaps w:val="false"/>
                <w:color w:val="auto"/>
                <w:spacing w:val="0"/>
                <w:sz w:val="22"/>
                <w:szCs w:val="22"/>
                <w:u w:val="none"/>
                <w:shd w:fill="auto" w:val="clear"/>
              </w:rPr>
              <w:t>Trois mesures phares</w:t>
            </w:r>
            <w:r>
              <w:rPr>
                <w:rStyle w:val="style28"/>
                <w:b w:val="false"/>
                <w:bCs w:val="false"/>
                <w:i w:val="false"/>
                <w:caps w:val="false"/>
                <w:smallCaps w:val="false"/>
                <w:color w:val="auto"/>
                <w:spacing w:val="0"/>
                <w:sz w:val="22"/>
                <w:szCs w:val="22"/>
                <w:u w:val="none"/>
                <w:shd w:fill="auto" w:val="clear"/>
              </w:rPr>
              <w:t xml:space="preserve"> : assouplir les conditions de licenciement</w:t>
            </w:r>
            <w:r>
              <w:rPr>
                <w:b w:val="false"/>
                <w:bCs w:val="false"/>
                <w:i w:val="false"/>
                <w:caps w:val="false"/>
                <w:smallCaps w:val="false"/>
                <w:color w:val="auto"/>
                <w:spacing w:val="0"/>
                <w:sz w:val="22"/>
                <w:szCs w:val="22"/>
                <w:u w:val="none"/>
                <w:shd w:fill="auto" w:val="clear"/>
              </w:rPr>
              <w:t>, </w:t>
            </w:r>
            <w:r>
              <w:rPr>
                <w:rStyle w:val="style28"/>
                <w:b w:val="false"/>
                <w:bCs w:val="false"/>
                <w:i w:val="false"/>
                <w:caps w:val="false"/>
                <w:smallCaps w:val="false"/>
                <w:color w:val="auto"/>
                <w:spacing w:val="0"/>
                <w:sz w:val="22"/>
                <w:szCs w:val="22"/>
                <w:u w:val="none"/>
                <w:shd w:fill="auto" w:val="clear"/>
              </w:rPr>
              <w:t>réduire les indemnités légales,</w:t>
            </w:r>
            <w:r>
              <w:rPr>
                <w:b w:val="false"/>
                <w:bCs w:val="false"/>
                <w:i w:val="false"/>
                <w:caps w:val="false"/>
                <w:smallCaps w:val="false"/>
                <w:color w:val="auto"/>
                <w:spacing w:val="0"/>
                <w:sz w:val="22"/>
                <w:szCs w:val="22"/>
                <w:u w:val="none"/>
                <w:shd w:fill="auto" w:val="clear"/>
              </w:rPr>
              <w:t> permettre aux entreprises en difficulté de </w:t>
            </w:r>
            <w:r>
              <w:rPr>
                <w:rStyle w:val="style28"/>
                <w:b w:val="false"/>
                <w:bCs w:val="false"/>
                <w:i w:val="false"/>
                <w:caps w:val="false"/>
                <w:smallCaps w:val="false"/>
                <w:color w:val="auto"/>
                <w:spacing w:val="0"/>
                <w:sz w:val="22"/>
                <w:szCs w:val="22"/>
                <w:u w:val="none"/>
                <w:shd w:fill="auto" w:val="clear"/>
              </w:rPr>
              <w:t>baisser les salaires </w:t>
            </w:r>
            <w:r>
              <w:rPr>
                <w:b w:val="false"/>
                <w:bCs w:val="false"/>
                <w:i w:val="false"/>
                <w:caps w:val="false"/>
                <w:smallCaps w:val="false"/>
                <w:color w:val="auto"/>
                <w:spacing w:val="0"/>
                <w:sz w:val="22"/>
                <w:szCs w:val="22"/>
                <w:u w:val="none"/>
                <w:shd w:fill="auto" w:val="clear"/>
              </w:rPr>
              <w:t xml:space="preserve">de leurs employés et de modifier l'organisation du </w:t>
            </w:r>
            <w:r>
              <w:rPr>
                <w:rStyle w:val="style28"/>
                <w:b w:val="false"/>
                <w:bCs w:val="false"/>
                <w:i w:val="false"/>
                <w:caps w:val="false"/>
                <w:smallCaps w:val="false"/>
                <w:color w:val="auto"/>
                <w:spacing w:val="0"/>
                <w:sz w:val="22"/>
                <w:szCs w:val="22"/>
                <w:u w:val="none"/>
                <w:shd w:fill="auto" w:val="clear"/>
              </w:rPr>
              <w:t>temps de travail. </w:t>
            </w:r>
            <w:r>
              <w:rPr>
                <w:b w:val="false"/>
                <w:bCs w:val="false"/>
                <w:i w:val="false"/>
                <w:caps w:val="false"/>
                <w:smallCaps w:val="false"/>
                <w:color w:val="auto"/>
                <w:spacing w:val="0"/>
                <w:sz w:val="22"/>
                <w:szCs w:val="22"/>
                <w:u w:val="none"/>
                <w:shd w:fill="auto" w:val="clear"/>
              </w:rPr>
              <w:t>Par ailleurs, un</w:t>
            </w:r>
            <w:r>
              <w:rPr>
                <w:rStyle w:val="style28"/>
                <w:b w:val="false"/>
                <w:bCs w:val="false"/>
                <w:i w:val="false"/>
                <w:caps w:val="false"/>
                <w:smallCaps w:val="false"/>
                <w:color w:val="auto"/>
                <w:spacing w:val="0"/>
                <w:sz w:val="22"/>
                <w:szCs w:val="22"/>
                <w:u w:val="none"/>
                <w:shd w:fill="auto" w:val="clear"/>
              </w:rPr>
              <w:t> CDI spécifique</w:t>
            </w:r>
            <w:r>
              <w:rPr>
                <w:b w:val="false"/>
                <w:bCs w:val="false"/>
                <w:i w:val="false"/>
                <w:caps w:val="false"/>
                <w:smallCaps w:val="false"/>
                <w:color w:val="auto"/>
                <w:spacing w:val="0"/>
                <w:sz w:val="22"/>
                <w:szCs w:val="22"/>
                <w:u w:val="none"/>
                <w:shd w:fill="auto" w:val="clear"/>
              </w:rPr>
              <w:t xml:space="preserve">, pour lequel l'employeur bénéficie de </w:t>
            </w:r>
            <w:r>
              <w:rPr>
                <w:rStyle w:val="style28"/>
                <w:b w:val="false"/>
                <w:bCs w:val="false"/>
                <w:i w:val="false"/>
                <w:caps w:val="false"/>
                <w:smallCaps w:val="false"/>
                <w:color w:val="auto"/>
                <w:spacing w:val="0"/>
                <w:sz w:val="22"/>
                <w:szCs w:val="22"/>
                <w:u w:val="none"/>
                <w:shd w:fill="auto" w:val="clear"/>
              </w:rPr>
              <w:t>déductions fiscales</w:t>
            </w:r>
            <w:r>
              <w:rPr>
                <w:b w:val="false"/>
                <w:bCs w:val="false"/>
                <w:i w:val="false"/>
                <w:caps w:val="false"/>
                <w:smallCaps w:val="false"/>
                <w:color w:val="auto"/>
                <w:spacing w:val="0"/>
                <w:sz w:val="22"/>
                <w:szCs w:val="22"/>
                <w:u w:val="none"/>
                <w:shd w:fill="auto" w:val="clear"/>
              </w:rPr>
              <w:t xml:space="preserve">, a été créé pour les entrepreneurs et les PME de moins de 50 salariés : un contrat de travail doté d'une période d'essai d'un an. Aujourd'hui, les entreprises ibériques n'ont plus besoin d'avoir une </w:t>
            </w:r>
            <w:r>
              <w:rPr>
                <w:rStyle w:val="style28"/>
                <w:b w:val="false"/>
                <w:bCs w:val="false"/>
                <w:i w:val="false"/>
                <w:caps w:val="false"/>
                <w:smallCaps w:val="false"/>
                <w:color w:val="auto"/>
                <w:spacing w:val="0"/>
                <w:sz w:val="22"/>
                <w:szCs w:val="22"/>
                <w:u w:val="none"/>
                <w:shd w:fill="auto" w:val="clear"/>
              </w:rPr>
              <w:t>autorisation administrative </w:t>
            </w:r>
            <w:r>
              <w:rPr>
                <w:b w:val="false"/>
                <w:bCs w:val="false"/>
                <w:i w:val="false"/>
                <w:caps w:val="false"/>
                <w:smallCaps w:val="false"/>
                <w:color w:val="auto"/>
                <w:spacing w:val="0"/>
                <w:sz w:val="22"/>
                <w:szCs w:val="22"/>
                <w:u w:val="none"/>
                <w:shd w:fill="auto" w:val="clear"/>
              </w:rPr>
              <w:t>préalable pour justifier des</w:t>
            </w:r>
            <w:r>
              <w:rPr>
                <w:rStyle w:val="style28"/>
                <w:b w:val="false"/>
                <w:bCs w:val="false"/>
                <w:i w:val="false"/>
                <w:caps w:val="false"/>
                <w:smallCaps w:val="false"/>
                <w:color w:val="auto"/>
                <w:spacing w:val="0"/>
                <w:sz w:val="22"/>
                <w:szCs w:val="22"/>
                <w:u w:val="none"/>
                <w:shd w:fill="auto" w:val="clear"/>
              </w:rPr>
              <w:t> licenciements économiques</w:t>
            </w:r>
            <w:r>
              <w:rPr>
                <w:b w:val="false"/>
                <w:bCs w:val="false"/>
                <w:i w:val="false"/>
                <w:caps w:val="false"/>
                <w:smallCaps w:val="false"/>
                <w:color w:val="auto"/>
                <w:spacing w:val="0"/>
                <w:sz w:val="22"/>
                <w:szCs w:val="22"/>
                <w:u w:val="none"/>
                <w:shd w:fill="auto" w:val="clear"/>
              </w:rPr>
              <w:t xml:space="preserve"> : trois trimestres de baisse des revenus suffisent. En cas de licenciement jugé abusif, les réparations judiciaires accordés par les tribunaux sont </w:t>
            </w:r>
            <w:r>
              <w:rPr>
                <w:rStyle w:val="style28"/>
                <w:b w:val="false"/>
                <w:bCs w:val="false"/>
                <w:i w:val="false"/>
                <w:caps w:val="false"/>
                <w:smallCaps w:val="false"/>
                <w:color w:val="auto"/>
                <w:spacing w:val="0"/>
                <w:sz w:val="22"/>
                <w:szCs w:val="22"/>
                <w:u w:val="none"/>
                <w:shd w:fill="auto" w:val="clear"/>
              </w:rPr>
              <w:t>plafonnées</w:t>
            </w:r>
            <w:r>
              <w:rPr>
                <w:b w:val="false"/>
                <w:bCs w:val="false"/>
                <w:i w:val="false"/>
                <w:caps w:val="false"/>
                <w:smallCaps w:val="false"/>
                <w:color w:val="auto"/>
                <w:spacing w:val="0"/>
                <w:sz w:val="22"/>
                <w:szCs w:val="22"/>
                <w:u w:val="none"/>
                <w:shd w:fill="auto" w:val="clear"/>
              </w:rPr>
              <w:t> [...].</w:t>
            </w:r>
          </w:p>
          <w:p>
            <w:pPr>
              <w:pStyle w:val="style30"/>
              <w:widowControl/>
              <w:pBdr>
                <w:top w:val="nil"/>
                <w:left w:val="nil"/>
                <w:bottom w:val="nil"/>
                <w:insideH w:val="nil"/>
                <w:right w:val="nil"/>
                <w:insideV w:val="nil"/>
              </w:pBdr>
              <w:spacing w:after="0" w:before="0" w:line="100" w:lineRule="atLeast"/>
              <w:ind w:end="0" w:hanging="0" w:start="0"/>
              <w:contextualSpacing w:val="false"/>
              <w:jc w:val="both"/>
              <w:rPr>
                <w:b w:val="false"/>
                <w:bCs w:val="false"/>
                <w:i w:val="false"/>
                <w:caps w:val="false"/>
                <w:smallCaps w:val="false"/>
                <w:color w:val="auto"/>
                <w:spacing w:val="0"/>
                <w:sz w:val="22"/>
                <w:szCs w:val="22"/>
                <w:u w:val="none"/>
                <w:shd w:fill="auto" w:val="clear"/>
              </w:rPr>
            </w:pPr>
            <w:r>
              <w:rPr>
                <w:rStyle w:val="style28"/>
                <w:b/>
                <w:bCs/>
                <w:i w:val="false"/>
                <w:caps w:val="false"/>
                <w:smallCaps w:val="false"/>
                <w:color w:val="auto"/>
                <w:spacing w:val="0"/>
                <w:sz w:val="22"/>
                <w:szCs w:val="22"/>
                <w:u w:val="none"/>
                <w:shd w:fill="auto" w:val="clear"/>
              </w:rPr>
              <w:t>Quels effets ?</w:t>
            </w:r>
            <w:r>
              <w:rPr>
                <w:rStyle w:val="style28"/>
                <w:b w:val="false"/>
                <w:bCs w:val="false"/>
                <w:i w:val="false"/>
                <w:caps w:val="false"/>
                <w:smallCaps w:val="false"/>
                <w:color w:val="auto"/>
                <w:spacing w:val="0"/>
                <w:sz w:val="22"/>
                <w:szCs w:val="22"/>
                <w:u w:val="none"/>
                <w:shd w:fill="auto" w:val="clear"/>
              </w:rPr>
              <w:t xml:space="preserve"> </w:t>
            </w:r>
            <w:r>
              <w:rPr>
                <w:b w:val="false"/>
                <w:bCs w:val="false"/>
                <w:i w:val="false"/>
                <w:caps w:val="false"/>
                <w:smallCaps w:val="false"/>
                <w:color w:val="auto"/>
                <w:spacing w:val="0"/>
                <w:sz w:val="22"/>
                <w:szCs w:val="22"/>
                <w:u w:val="none"/>
                <w:shd w:fill="auto" w:val="clear"/>
              </w:rPr>
              <w:t>Après avoir connu un pic à </w:t>
            </w:r>
            <w:r>
              <w:rPr>
                <w:rStyle w:val="style28"/>
                <w:b w:val="false"/>
                <w:bCs w:val="false"/>
                <w:i w:val="false"/>
                <w:caps w:val="false"/>
                <w:smallCaps w:val="false"/>
                <w:color w:val="auto"/>
                <w:spacing w:val="0"/>
                <w:sz w:val="22"/>
                <w:szCs w:val="22"/>
                <w:u w:val="none"/>
                <w:shd w:fill="auto" w:val="clear"/>
              </w:rPr>
              <w:t>26,3%</w:t>
            </w:r>
            <w:r>
              <w:rPr>
                <w:b w:val="false"/>
                <w:bCs w:val="false"/>
                <w:i w:val="false"/>
                <w:caps w:val="false"/>
                <w:smallCaps w:val="false"/>
                <w:color w:val="auto"/>
                <w:spacing w:val="0"/>
                <w:sz w:val="22"/>
                <w:szCs w:val="22"/>
                <w:u w:val="none"/>
                <w:shd w:fill="auto" w:val="clear"/>
              </w:rPr>
              <w:t> en 2014, </w:t>
            </w:r>
            <w:r>
              <w:rPr>
                <w:rStyle w:val="style28"/>
                <w:b w:val="false"/>
                <w:bCs w:val="false"/>
                <w:i w:val="false"/>
                <w:caps w:val="false"/>
                <w:smallCaps w:val="false"/>
                <w:color w:val="auto"/>
                <w:spacing w:val="0"/>
                <w:sz w:val="22"/>
                <w:szCs w:val="22"/>
                <w:u w:val="none"/>
                <w:shd w:fill="auto" w:val="clear"/>
              </w:rPr>
              <w:t>le taux de chômage est retombé à 20,5% </w:t>
            </w:r>
            <w:r>
              <w:rPr>
                <w:b w:val="false"/>
                <w:bCs w:val="false"/>
                <w:i w:val="false"/>
                <w:caps w:val="false"/>
                <w:smallCaps w:val="false"/>
                <w:color w:val="auto"/>
                <w:spacing w:val="0"/>
                <w:sz w:val="22"/>
                <w:szCs w:val="22"/>
                <w:u w:val="none"/>
                <w:shd w:fill="auto" w:val="clear"/>
              </w:rPr>
              <w:t xml:space="preserve">début 2016. La réforme a permis à l'économie du pays de renouer en 2015 avec la croissance (3,2%) et aux entreprises de limiter les dégâts de la crise. </w:t>
            </w:r>
          </w:p>
          <w:p>
            <w:pPr>
              <w:pStyle w:val="style30"/>
              <w:widowControl/>
              <w:pBdr>
                <w:top w:val="nil"/>
                <w:left w:val="nil"/>
                <w:bottom w:val="nil"/>
                <w:insideH w:val="nil"/>
                <w:right w:val="nil"/>
                <w:insideV w:val="nil"/>
              </w:pBdr>
              <w:spacing w:after="0" w:before="0" w:line="100" w:lineRule="atLeast"/>
              <w:ind w:end="0" w:hanging="0" w:start="0"/>
              <w:contextualSpacing w:val="false"/>
              <w:jc w:val="both"/>
              <w:rPr>
                <w:b w:val="false"/>
                <w:bCs w:val="false"/>
                <w:i w:val="false"/>
                <w:caps w:val="false"/>
                <w:smallCaps w:val="false"/>
                <w:color w:val="auto"/>
                <w:spacing w:val="0"/>
                <w:sz w:val="22"/>
                <w:szCs w:val="22"/>
                <w:u w:val="none"/>
              </w:rPr>
            </w:pPr>
            <w:r>
              <w:rPr>
                <w:b w:val="false"/>
                <w:bCs w:val="false"/>
                <w:i w:val="false"/>
                <w:caps w:val="false"/>
                <w:smallCaps w:val="false"/>
                <w:color w:val="auto"/>
                <w:spacing w:val="0"/>
                <w:sz w:val="22"/>
                <w:szCs w:val="22"/>
                <w:u w:val="none"/>
              </w:rPr>
            </w:r>
          </w:p>
          <w:p>
            <w:pPr>
              <w:pStyle w:val="style30"/>
              <w:widowControl/>
              <w:pBdr>
                <w:top w:val="nil"/>
                <w:left w:val="nil"/>
                <w:bottom w:val="nil"/>
                <w:insideH w:val="nil"/>
                <w:right w:val="nil"/>
                <w:insideV w:val="nil"/>
              </w:pBdr>
              <w:spacing w:after="0" w:before="0" w:line="100" w:lineRule="atLeast"/>
              <w:ind w:end="150" w:hanging="0" w:start="0"/>
              <w:contextualSpacing w:val="false"/>
              <w:jc w:val="both"/>
              <w:rPr>
                <w:b w:val="false"/>
                <w:bCs w:val="false"/>
                <w:i w:val="false"/>
                <w:caps w:val="false"/>
                <w:smallCaps w:val="false"/>
                <w:color w:val="auto"/>
                <w:spacing w:val="0"/>
                <w:sz w:val="22"/>
                <w:szCs w:val="22"/>
                <w:u w:val="none"/>
              </w:rPr>
            </w:pPr>
            <w:r>
              <w:rPr>
                <w:rStyle w:val="style28"/>
                <w:b/>
                <w:bCs/>
                <w:i w:val="false"/>
                <w:caps w:val="false"/>
                <w:smallCaps w:val="false"/>
                <w:color w:val="auto"/>
                <w:spacing w:val="0"/>
                <w:sz w:val="22"/>
                <w:szCs w:val="22"/>
                <w:u w:val="none"/>
              </w:rPr>
              <w:t>Les bémols </w:t>
            </w:r>
            <w:r>
              <w:rPr>
                <w:rStyle w:val="style28"/>
                <w:b w:val="false"/>
                <w:bCs w:val="false"/>
                <w:i w:val="false"/>
                <w:caps w:val="false"/>
                <w:smallCaps w:val="false"/>
                <w:color w:val="auto"/>
                <w:spacing w:val="0"/>
                <w:sz w:val="22"/>
                <w:szCs w:val="22"/>
                <w:u w:val="none"/>
              </w:rPr>
              <w:t xml:space="preserve">: </w:t>
            </w:r>
            <w:r>
              <w:rPr>
                <w:b w:val="false"/>
                <w:bCs w:val="false"/>
                <w:i w:val="false"/>
                <w:caps w:val="false"/>
                <w:smallCaps w:val="false"/>
                <w:color w:val="auto"/>
                <w:spacing w:val="0"/>
                <w:sz w:val="22"/>
                <w:szCs w:val="22"/>
                <w:u w:val="none"/>
              </w:rPr>
              <w:t>Seulement </w:t>
            </w:r>
            <w:r>
              <w:rPr>
                <w:rStyle w:val="style28"/>
                <w:b w:val="false"/>
                <w:bCs w:val="false"/>
                <w:i w:val="false"/>
                <w:caps w:val="false"/>
                <w:smallCaps w:val="false"/>
                <w:color w:val="auto"/>
                <w:spacing w:val="0"/>
                <w:sz w:val="22"/>
                <w:szCs w:val="22"/>
                <w:u w:val="none"/>
              </w:rPr>
              <w:t>32,5% du demi-million d'emplois</w:t>
            </w:r>
            <w:r>
              <w:rPr>
                <w:b w:val="false"/>
                <w:bCs w:val="false"/>
                <w:i w:val="false"/>
                <w:caps w:val="false"/>
                <w:smallCaps w:val="false"/>
                <w:color w:val="auto"/>
                <w:spacing w:val="0"/>
                <w:sz w:val="22"/>
                <w:szCs w:val="22"/>
                <w:u w:val="none"/>
              </w:rPr>
              <w:t> créés sont des emplois</w:t>
            </w:r>
            <w:r>
              <w:rPr>
                <w:rStyle w:val="style28"/>
                <w:b w:val="false"/>
                <w:bCs w:val="false"/>
                <w:i w:val="false"/>
                <w:caps w:val="false"/>
                <w:smallCaps w:val="false"/>
                <w:color w:val="auto"/>
                <w:spacing w:val="0"/>
                <w:sz w:val="22"/>
                <w:szCs w:val="22"/>
                <w:u w:val="none"/>
              </w:rPr>
              <w:t> stables,</w:t>
            </w:r>
            <w:r>
              <w:rPr>
                <w:b w:val="false"/>
                <w:bCs w:val="false"/>
                <w:i w:val="false"/>
                <w:caps w:val="false"/>
                <w:smallCaps w:val="false"/>
                <w:color w:val="auto"/>
                <w:spacing w:val="0"/>
                <w:sz w:val="22"/>
                <w:szCs w:val="22"/>
                <w:u w:val="none"/>
              </w:rPr>
              <w:t> en CDI, et </w:t>
            </w:r>
            <w:r>
              <w:rPr>
                <w:rStyle w:val="style28"/>
                <w:b w:val="false"/>
                <w:bCs w:val="false"/>
                <w:i w:val="false"/>
                <w:caps w:val="false"/>
                <w:smallCaps w:val="false"/>
                <w:color w:val="auto"/>
                <w:spacing w:val="0"/>
                <w:sz w:val="22"/>
                <w:szCs w:val="22"/>
                <w:u w:val="none"/>
              </w:rPr>
              <w:t>90% sont précaires</w:t>
            </w:r>
            <w:r>
              <w:rPr>
                <w:b w:val="false"/>
                <w:bCs w:val="false"/>
                <w:i w:val="false"/>
                <w:caps w:val="false"/>
                <w:smallCaps w:val="false"/>
                <w:color w:val="auto"/>
                <w:spacing w:val="0"/>
                <w:sz w:val="22"/>
                <w:szCs w:val="22"/>
                <w:u w:val="none"/>
              </w:rPr>
              <w:t> ou à faible valeur ajoutée. Nombreux sont les salariés qui travaillent plus pour gagner moins : la réforme a abaissé les salaires de 7%. Et près d'un jeune de moins de 25 ans sur deux est au chômage.</w:t>
            </w:r>
          </w:p>
        </w:tc>
      </w:tr>
    </w:tbl>
    <w:p>
      <w:pPr>
        <w:pStyle w:val="style0"/>
        <w:rPr>
          <w:rFonts w:ascii="Arial Black" w:hAnsi="Arial Black"/>
          <w:b/>
          <w:bCs/>
          <w:sz w:val="16"/>
          <w:szCs w:val="16"/>
          <w:u w:val="single"/>
        </w:rPr>
      </w:pPr>
      <w:r>
        <w:rPr>
          <w:rFonts w:ascii="Arial Black" w:hAnsi="Arial Black"/>
          <w:b/>
          <w:bCs/>
          <w:sz w:val="16"/>
          <w:szCs w:val="16"/>
          <w:u w:val="single"/>
        </w:rPr>
      </w:r>
    </w:p>
    <w:sectPr>
      <w:footerReference r:id="rId18" w:type="default"/>
      <w:type w:val="nextPage"/>
      <w:pgSz w:h="16838" w:w="11906"/>
      <w:pgMar w:bottom="856" w:footer="510" w:gutter="0" w:header="0" w:left="567" w:right="567" w:top="720"/>
      <w:pgNumType w:fmt="decimal"/>
      <w:formProt w:val="false"/>
      <w:textDirection w:val="lrTb"/>
    </w:sectPr>
  </w:body>
</w:document>
</file>

<file path=word/fontTable.xml><?xml version="1.0" encoding="utf-8"?>
<w:fonts xmlns:r="http://schemas.openxmlformats.org/officeDocument/2006/relationships" xmlns:w="http://schemas.openxmlformats.org/wordprocessingml/2006/main">
  <w:font w:name="Times New Roman">
    <w:charset w:characterSet="windows-1252" w:val="00"/>
    <w:family w:val="roman"/>
    <w:pitch w:val="variable"/>
  </w:font>
  <w:font w:name="Symbol">
    <w:charset w:val="02"/>
    <w:family w:val="roman"/>
    <w:pitch w:val="variable"/>
  </w:font>
  <w:font w:name="Arial">
    <w:charset w:characterSet="windows-1252" w:val="00"/>
    <w:family w:val="swiss"/>
    <w:pitch w:val="variable"/>
  </w:font>
  <w:font w:name="OpenSymbol">
    <w:altName w:val="Arial Unicode MS"/>
    <w:charset w:characterSet="windows-1252" w:val="00"/>
    <w:family w:val="auto"/>
    <w:pitch w:val="default"/>
  </w:font>
  <w:font w:name="Arial Black">
    <w:charset w:characterSet="windows-1252" w:val="00"/>
    <w:family w:val="swiss"/>
    <w:pitch w:val="variable"/>
  </w:font>
  <w:font w:name="Wingdings">
    <w:charset w:val="02"/>
    <w:family w:val="auto"/>
    <w:pitch w:val="default"/>
  </w:font>
  <w:font w:name="Calibri">
    <w:charset w:characterSet="windows-1252" w:val="00"/>
    <w:family w:val="swiss"/>
    <w:pitch w:val="default"/>
  </w:font>
  <w:font w:name="Trebuchet MS">
    <w:charset w:characterSet="windows-1252" w:val="00"/>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34"/>
      <w:rPr>
        <w:rStyle w:val="style15"/>
        <w:b/>
        <w:bCs/>
        <w:sz w:val="20"/>
        <w:szCs w:val="20"/>
      </w:rPr>
    </w:pPr>
    <w:r>
      <w:rPr>
        <w:rStyle w:val="style15"/>
        <w:b/>
        <w:bCs/>
        <w:sz w:val="20"/>
        <w:szCs w:val="20"/>
      </w:rPr>
      <w:tab/>
      <w:t>Économie – VII.2 – Les explications principales du chômage – Dossier élève</w:t>
      <w:tab/>
    </w:r>
    <w:r>
      <w:rPr>
        <w:rStyle w:val="style15"/>
        <w:b/>
        <w:bCs/>
        <w:sz w:val="20"/>
        <w:szCs w:val="20"/>
      </w:rPr>
      <w:fldChar w:fldCharType="begin"/>
    </w:r>
    <w:r>
      <w:instrText> PAGE </w:instrText>
    </w:r>
    <w:r>
      <w:fldChar w:fldCharType="separate"/>
    </w:r>
    <w:r>
      <w:t>6</w:t>
    </w:r>
    <w:r>
      <w:fldChar w:fldCharType="end"/>
    </w:r>
    <w:r>
      <w:rPr>
        <w:rStyle w:val="style15"/>
        <w:b/>
        <w:bCs/>
        <w:sz w:val="20"/>
        <w:szCs w:val="20"/>
      </w:rPr>
      <w:t>/</w:t>
    </w:r>
    <w:r>
      <w:rPr>
        <w:rStyle w:val="style15"/>
        <w:b/>
        <w:bCs/>
        <w:sz w:val="20"/>
        <w:szCs w:val="20"/>
      </w:rPr>
      <w:fldChar w:fldCharType="begin"/>
    </w:r>
    <w:r>
      <w:instrText> NUMPAGES \*Arabic </w:instrText>
    </w:r>
    <w:r>
      <w:fldChar w:fldCharType="separate"/>
    </w:r>
    <w:r>
      <w:t>6</w:t>
    </w:r>
    <w:r>
      <w:fldChar w:fldCharType="end"/>
    </w:r>
  </w:p>
</w:ftr>
</file>

<file path=word/numbering.xml><?xml version="1.0" encoding="utf-8"?>
<w:numbering xmlns:o="urn:schemas-microsoft-com:office:office" xmlns:r="http://schemas.openxmlformats.org/officeDocument/2006/relationships" xmlns:v="urn:schemas-microsoft-com:vml" xmlns:w="http://schemas.openxmlformats.org/wordprocessingml/2006/main">
  <w:abstractNum w:abstractNumId="1">
    <w:lvl w:ilvl="0">
      <w:start w:val="1"/>
      <w:numFmt w:val="bullet"/>
      <w:lvlText w:val=""/>
      <w:lvlJc w:val="start"/>
      <w:pPr>
        <w:ind w:hanging="360" w:start="720"/>
      </w:pPr>
      <w:rPr>
        <w:rFonts w:ascii="Symbol" w:cs="Symbol" w:hAnsi="Symbol" w:hint="default"/>
      </w:rPr>
    </w:lvl>
    <w:lvl w:ilvl="1">
      <w:start w:val="1"/>
      <w:numFmt w:val="bullet"/>
      <w:lvlText w:val=""/>
      <w:lvlJc w:val="start"/>
      <w:pPr>
        <w:ind w:hanging="360" w:start="1080"/>
      </w:pPr>
      <w:rPr>
        <w:rFonts w:ascii="Symbol" w:cs="Symbol" w:hAnsi="Symbol" w:hint="default"/>
      </w:rPr>
    </w:lvl>
    <w:lvl w:ilvl="2">
      <w:start w:val="1"/>
      <w:numFmt w:val="bullet"/>
      <w:lvlText w:val=""/>
      <w:lvlJc w:val="start"/>
      <w:pPr>
        <w:ind w:hanging="360" w:start="1440"/>
      </w:pPr>
      <w:rPr>
        <w:rFonts w:ascii="Symbol" w:cs="Symbol" w:hAnsi="Symbol" w:hint="default"/>
      </w:rPr>
    </w:lvl>
    <w:lvl w:ilvl="3">
      <w:start w:val="1"/>
      <w:numFmt w:val="bullet"/>
      <w:lvlText w:val=""/>
      <w:lvlJc w:val="start"/>
      <w:pPr>
        <w:ind w:hanging="360" w:start="1800"/>
      </w:pPr>
      <w:rPr>
        <w:rFonts w:ascii="Symbol" w:cs="Symbol" w:hAnsi="Symbol" w:hint="default"/>
      </w:rPr>
    </w:lvl>
    <w:lvl w:ilvl="4">
      <w:start w:val="1"/>
      <w:numFmt w:val="bullet"/>
      <w:lvlText w:val=""/>
      <w:lvlJc w:val="start"/>
      <w:pPr>
        <w:ind w:hanging="360" w:start="2160"/>
      </w:pPr>
      <w:rPr>
        <w:rFonts w:ascii="Symbol" w:cs="Symbol" w:hAnsi="Symbol" w:hint="default"/>
      </w:rPr>
    </w:lvl>
    <w:lvl w:ilvl="5">
      <w:start w:val="1"/>
      <w:numFmt w:val="bullet"/>
      <w:lvlText w:val=""/>
      <w:lvlJc w:val="start"/>
      <w:pPr>
        <w:ind w:hanging="360" w:start="2520"/>
      </w:pPr>
      <w:rPr>
        <w:rFonts w:ascii="Symbol" w:cs="Symbol" w:hAnsi="Symbol" w:hint="default"/>
      </w:rPr>
    </w:lvl>
    <w:lvl w:ilvl="6">
      <w:start w:val="1"/>
      <w:numFmt w:val="bullet"/>
      <w:lvlText w:val=""/>
      <w:lvlJc w:val="start"/>
      <w:pPr>
        <w:ind w:hanging="360" w:start="2880"/>
      </w:pPr>
      <w:rPr>
        <w:rFonts w:ascii="Symbol" w:cs="Symbol" w:hAnsi="Symbol" w:hint="default"/>
      </w:rPr>
    </w:lvl>
    <w:lvl w:ilvl="7">
      <w:start w:val="1"/>
      <w:numFmt w:val="bullet"/>
      <w:lvlText w:val=""/>
      <w:lvlJc w:val="start"/>
      <w:pPr>
        <w:ind w:hanging="360" w:start="3240"/>
      </w:pPr>
      <w:rPr>
        <w:rFonts w:ascii="Symbol" w:cs="Symbol" w:hAnsi="Symbol" w:hint="default"/>
      </w:rPr>
    </w:lvl>
    <w:lvl w:ilvl="8">
      <w:start w:val="1"/>
      <w:numFmt w:val="bullet"/>
      <w:lvlText w:val=""/>
      <w:lvlJc w:val="start"/>
      <w:pPr>
        <w:ind w:hanging="360" w:start="3600"/>
      </w:pPr>
      <w:rPr>
        <w:rFonts w:ascii="Symbol" w:cs="Symbol" w:hAnsi="Symbol" w:hint="default"/>
      </w:rPr>
    </w:lvl>
  </w:abstractNum>
  <w:abstractNum w:abstractNumId="2">
    <w:lvl w:ilvl="0">
      <w:start w:val="1"/>
      <w:numFmt w:val="bullet"/>
      <w:lvlText w:val=""/>
      <w:lvlJc w:val="start"/>
      <w:pPr>
        <w:tabs>
          <w:tab w:pos="720" w:val="num"/>
        </w:tabs>
        <w:ind w:hanging="360" w:start="720"/>
      </w:pPr>
      <w:rPr>
        <w:rFonts w:ascii="Symbol" w:cs="Symbol" w:hAnsi="Symbol" w:hint="default"/>
      </w:rPr>
    </w:lvl>
    <w:lvl w:ilvl="1">
      <w:start w:val="1"/>
      <w:numFmt w:val="bullet"/>
      <w:lvlText w:val=""/>
      <w:lvlJc w:val="start"/>
      <w:pPr>
        <w:tabs>
          <w:tab w:pos="1080" w:val="num"/>
        </w:tabs>
        <w:ind w:hanging="360" w:start="1080"/>
      </w:pPr>
      <w:rPr>
        <w:rFonts w:ascii="Symbol" w:cs="Symbol" w:hAnsi="Symbol" w:hint="default"/>
      </w:rPr>
    </w:lvl>
    <w:lvl w:ilvl="2">
      <w:start w:val="1"/>
      <w:numFmt w:val="bullet"/>
      <w:lvlText w:val=""/>
      <w:lvlJc w:val="start"/>
      <w:pPr>
        <w:tabs>
          <w:tab w:pos="1440" w:val="num"/>
        </w:tabs>
        <w:ind w:hanging="360" w:start="1440"/>
      </w:pPr>
      <w:rPr>
        <w:rFonts w:ascii="Symbol" w:cs="Symbol" w:hAnsi="Symbol" w:hint="default"/>
      </w:rPr>
    </w:lvl>
    <w:lvl w:ilvl="3">
      <w:start w:val="1"/>
      <w:numFmt w:val="bullet"/>
      <w:lvlText w:val=""/>
      <w:lvlJc w:val="start"/>
      <w:pPr>
        <w:tabs>
          <w:tab w:pos="1800" w:val="num"/>
        </w:tabs>
        <w:ind w:hanging="360" w:start="1800"/>
      </w:pPr>
      <w:rPr>
        <w:rFonts w:ascii="Symbol" w:cs="Symbol" w:hAnsi="Symbol" w:hint="default"/>
      </w:rPr>
    </w:lvl>
    <w:lvl w:ilvl="4">
      <w:start w:val="1"/>
      <w:numFmt w:val="bullet"/>
      <w:lvlText w:val=""/>
      <w:lvlJc w:val="start"/>
      <w:pPr>
        <w:tabs>
          <w:tab w:pos="2160" w:val="num"/>
        </w:tabs>
        <w:ind w:hanging="360" w:start="2160"/>
      </w:pPr>
      <w:rPr>
        <w:rFonts w:ascii="Symbol" w:cs="Symbol" w:hAnsi="Symbol" w:hint="default"/>
      </w:rPr>
    </w:lvl>
    <w:lvl w:ilvl="5">
      <w:start w:val="1"/>
      <w:numFmt w:val="bullet"/>
      <w:lvlText w:val=""/>
      <w:lvlJc w:val="start"/>
      <w:pPr>
        <w:tabs>
          <w:tab w:pos="2520" w:val="num"/>
        </w:tabs>
        <w:ind w:hanging="360" w:start="2520"/>
      </w:pPr>
      <w:rPr>
        <w:rFonts w:ascii="Symbol" w:cs="Symbol" w:hAnsi="Symbol" w:hint="default"/>
      </w:rPr>
    </w:lvl>
    <w:lvl w:ilvl="6">
      <w:start w:val="1"/>
      <w:numFmt w:val="bullet"/>
      <w:lvlText w:val=""/>
      <w:lvlJc w:val="start"/>
      <w:pPr>
        <w:tabs>
          <w:tab w:pos="2880" w:val="num"/>
        </w:tabs>
        <w:ind w:hanging="360" w:start="2880"/>
      </w:pPr>
      <w:rPr>
        <w:rFonts w:ascii="Symbol" w:cs="Symbol" w:hAnsi="Symbol" w:hint="default"/>
      </w:rPr>
    </w:lvl>
    <w:lvl w:ilvl="7">
      <w:start w:val="1"/>
      <w:numFmt w:val="bullet"/>
      <w:lvlText w:val=""/>
      <w:lvlJc w:val="start"/>
      <w:pPr>
        <w:tabs>
          <w:tab w:pos="3240" w:val="num"/>
        </w:tabs>
        <w:ind w:hanging="360" w:start="3240"/>
      </w:pPr>
      <w:rPr>
        <w:rFonts w:ascii="Symbol" w:cs="Symbol" w:hAnsi="Symbol" w:hint="default"/>
      </w:rPr>
    </w:lvl>
    <w:lvl w:ilvl="8">
      <w:start w:val="1"/>
      <w:numFmt w:val="bullet"/>
      <w:lvlText w:val=""/>
      <w:lvlJc w:val="start"/>
      <w:pPr>
        <w:tabs>
          <w:tab w:pos="3600" w:val="num"/>
        </w:tabs>
        <w:ind w:hanging="360" w:start="3600"/>
      </w:pPr>
      <w:rPr>
        <w:rFonts w:ascii="Symbol" w:cs="Symbol" w:hAnsi="Symbol" w:hint="default"/>
      </w:rPr>
    </w:lvl>
  </w:abstractNum>
  <w:abstractNum w:abstractNumId="3">
    <w:lvl w:ilvl="0">
      <w:start w:val="1"/>
      <w:numFmt w:val="bullet"/>
      <w:lvlText w:val=""/>
      <w:lvlJc w:val="start"/>
      <w:pPr>
        <w:tabs>
          <w:tab w:pos="720" w:val="num"/>
        </w:tabs>
        <w:ind w:hanging="360" w:start="720"/>
      </w:pPr>
      <w:rPr>
        <w:rFonts w:ascii="Symbol" w:cs="Symbol" w:hAnsi="Symbol" w:hint="default"/>
      </w:rPr>
    </w:lvl>
    <w:lvl w:ilvl="1">
      <w:start w:val="1"/>
      <w:numFmt w:val="bullet"/>
      <w:lvlText w:val=""/>
      <w:lvlJc w:val="start"/>
      <w:pPr>
        <w:tabs>
          <w:tab w:pos="1080" w:val="num"/>
        </w:tabs>
        <w:ind w:hanging="360" w:start="1080"/>
      </w:pPr>
      <w:rPr>
        <w:rFonts w:ascii="Symbol" w:cs="Symbol" w:hAnsi="Symbol" w:hint="default"/>
      </w:rPr>
    </w:lvl>
    <w:lvl w:ilvl="2">
      <w:start w:val="1"/>
      <w:numFmt w:val="bullet"/>
      <w:lvlText w:val=""/>
      <w:lvlJc w:val="start"/>
      <w:pPr>
        <w:tabs>
          <w:tab w:pos="1440" w:val="num"/>
        </w:tabs>
        <w:ind w:hanging="360" w:start="1440"/>
      </w:pPr>
      <w:rPr>
        <w:rFonts w:ascii="Symbol" w:cs="Symbol" w:hAnsi="Symbol" w:hint="default"/>
      </w:rPr>
    </w:lvl>
    <w:lvl w:ilvl="3">
      <w:start w:val="1"/>
      <w:numFmt w:val="bullet"/>
      <w:lvlText w:val=""/>
      <w:lvlJc w:val="start"/>
      <w:pPr>
        <w:tabs>
          <w:tab w:pos="1800" w:val="num"/>
        </w:tabs>
        <w:ind w:hanging="360" w:start="1800"/>
      </w:pPr>
      <w:rPr>
        <w:rFonts w:ascii="Symbol" w:cs="Symbol" w:hAnsi="Symbol" w:hint="default"/>
      </w:rPr>
    </w:lvl>
    <w:lvl w:ilvl="4">
      <w:start w:val="1"/>
      <w:numFmt w:val="bullet"/>
      <w:lvlText w:val=""/>
      <w:lvlJc w:val="start"/>
      <w:pPr>
        <w:tabs>
          <w:tab w:pos="2160" w:val="num"/>
        </w:tabs>
        <w:ind w:hanging="360" w:start="2160"/>
      </w:pPr>
      <w:rPr>
        <w:rFonts w:ascii="Symbol" w:cs="Symbol" w:hAnsi="Symbol" w:hint="default"/>
      </w:rPr>
    </w:lvl>
    <w:lvl w:ilvl="5">
      <w:start w:val="1"/>
      <w:numFmt w:val="bullet"/>
      <w:lvlText w:val=""/>
      <w:lvlJc w:val="start"/>
      <w:pPr>
        <w:tabs>
          <w:tab w:pos="2520" w:val="num"/>
        </w:tabs>
        <w:ind w:hanging="360" w:start="2520"/>
      </w:pPr>
      <w:rPr>
        <w:rFonts w:ascii="Symbol" w:cs="Symbol" w:hAnsi="Symbol" w:hint="default"/>
      </w:rPr>
    </w:lvl>
    <w:lvl w:ilvl="6">
      <w:start w:val="1"/>
      <w:numFmt w:val="bullet"/>
      <w:lvlText w:val=""/>
      <w:lvlJc w:val="start"/>
      <w:pPr>
        <w:tabs>
          <w:tab w:pos="2880" w:val="num"/>
        </w:tabs>
        <w:ind w:hanging="360" w:start="2880"/>
      </w:pPr>
      <w:rPr>
        <w:rFonts w:ascii="Symbol" w:cs="Symbol" w:hAnsi="Symbol" w:hint="default"/>
      </w:rPr>
    </w:lvl>
    <w:lvl w:ilvl="7">
      <w:start w:val="1"/>
      <w:numFmt w:val="bullet"/>
      <w:lvlText w:val=""/>
      <w:lvlJc w:val="start"/>
      <w:pPr>
        <w:tabs>
          <w:tab w:pos="3240" w:val="num"/>
        </w:tabs>
        <w:ind w:hanging="360" w:start="3240"/>
      </w:pPr>
      <w:rPr>
        <w:rFonts w:ascii="Symbol" w:cs="Symbol" w:hAnsi="Symbol" w:hint="default"/>
      </w:rPr>
    </w:lvl>
    <w:lvl w:ilvl="8">
      <w:start w:val="1"/>
      <w:numFmt w:val="bullet"/>
      <w:lvlText w:val=""/>
      <w:lvlJc w:val="start"/>
      <w:pPr>
        <w:tabs>
          <w:tab w:pos="3600" w:val="num"/>
        </w:tabs>
        <w:ind w:hanging="360" w:start="3600"/>
      </w:pPr>
      <w:rPr>
        <w:rFonts w:ascii="Symbol" w:cs="Symbol" w:hAnsi="Symbol" w:hint="default"/>
      </w:rPr>
    </w:lvl>
  </w:abstractNum>
  <w:abstractNum w:abstractNumId="4">
    <w:lvl w:ilvl="0">
      <w:start w:val="1"/>
      <w:numFmt w:val="decimal"/>
      <w:lvlText w:val="%1)"/>
      <w:lvlJc w:val="start"/>
      <w:pPr>
        <w:tabs>
          <w:tab w:pos="720" w:val="num"/>
        </w:tabs>
        <w:ind w:hanging="360" w:start="720"/>
      </w:pPr>
      <w:rPr/>
    </w:lvl>
    <w:lvl w:ilvl="1">
      <w:start w:val="1"/>
      <w:numFmt w:val="decimal"/>
      <w:lvlText w:val="%2."/>
      <w:lvlJc w:val="start"/>
      <w:pPr>
        <w:tabs>
          <w:tab w:pos="1080" w:val="num"/>
        </w:tabs>
        <w:ind w:hanging="360" w:start="1080"/>
      </w:pPr>
    </w:lvl>
    <w:lvl w:ilvl="2">
      <w:start w:val="1"/>
      <w:numFmt w:val="decimal"/>
      <w:lvlText w:val="%3."/>
      <w:lvlJc w:val="start"/>
      <w:pPr>
        <w:tabs>
          <w:tab w:pos="1440" w:val="num"/>
        </w:tabs>
        <w:ind w:hanging="360" w:start="1440"/>
      </w:pPr>
    </w:lvl>
    <w:lvl w:ilvl="3">
      <w:start w:val="1"/>
      <w:numFmt w:val="decimal"/>
      <w:lvlText w:val="%4."/>
      <w:lvlJc w:val="start"/>
      <w:pPr>
        <w:tabs>
          <w:tab w:pos="1800" w:val="num"/>
        </w:tabs>
        <w:ind w:hanging="360" w:start="1800"/>
      </w:pPr>
    </w:lvl>
    <w:lvl w:ilvl="4">
      <w:start w:val="1"/>
      <w:numFmt w:val="decimal"/>
      <w:lvlText w:val="%5."/>
      <w:lvlJc w:val="start"/>
      <w:pPr>
        <w:tabs>
          <w:tab w:pos="2160" w:val="num"/>
        </w:tabs>
        <w:ind w:hanging="360" w:start="2160"/>
      </w:pPr>
    </w:lvl>
    <w:lvl w:ilvl="5">
      <w:start w:val="1"/>
      <w:numFmt w:val="decimal"/>
      <w:lvlText w:val="%6."/>
      <w:lvlJc w:val="start"/>
      <w:pPr>
        <w:tabs>
          <w:tab w:pos="2520" w:val="num"/>
        </w:tabs>
        <w:ind w:hanging="360" w:start="2520"/>
      </w:pPr>
    </w:lvl>
    <w:lvl w:ilvl="6">
      <w:start w:val="1"/>
      <w:numFmt w:val="decimal"/>
      <w:lvlText w:val="%7."/>
      <w:lvlJc w:val="start"/>
      <w:pPr>
        <w:tabs>
          <w:tab w:pos="2880" w:val="num"/>
        </w:tabs>
        <w:ind w:hanging="360" w:start="2880"/>
      </w:pPr>
    </w:lvl>
    <w:lvl w:ilvl="7">
      <w:start w:val="1"/>
      <w:numFmt w:val="decimal"/>
      <w:lvlText w:val="%8."/>
      <w:lvlJc w:val="start"/>
      <w:pPr>
        <w:tabs>
          <w:tab w:pos="3240" w:val="num"/>
        </w:tabs>
        <w:ind w:hanging="360" w:start="3240"/>
      </w:pPr>
    </w:lvl>
    <w:lvl w:ilvl="8">
      <w:start w:val="1"/>
      <w:numFmt w:val="decimal"/>
      <w:lvlText w:val="%9."/>
      <w:lvlJc w:val="start"/>
      <w:pPr>
        <w:tabs>
          <w:tab w:pos="3600" w:val="num"/>
        </w:tabs>
        <w:ind w:hanging="360" w:start="3600"/>
      </w:pPr>
    </w:lvl>
  </w:abstractNum>
  <w:abstractNum w:abstractNumId="5">
    <w:lvl w:ilvl="0">
      <w:start w:val="1"/>
      <w:numFmt w:val="bullet"/>
      <w:lvlText w:val=""/>
      <w:lvlJc w:val="start"/>
      <w:pPr>
        <w:tabs>
          <w:tab w:pos="720" w:val="num"/>
        </w:tabs>
        <w:ind w:hanging="360" w:start="720"/>
      </w:pPr>
      <w:rPr>
        <w:rFonts w:ascii="Symbol" w:cs="Symbol" w:hAnsi="Symbol" w:hint="default"/>
      </w:rPr>
    </w:lvl>
    <w:lvl w:ilvl="1">
      <w:start w:val="1"/>
      <w:numFmt w:val="bullet"/>
      <w:lvlText w:val=""/>
      <w:lvlJc w:val="start"/>
      <w:pPr>
        <w:tabs>
          <w:tab w:pos="1080" w:val="num"/>
        </w:tabs>
        <w:ind w:hanging="360" w:start="1080"/>
      </w:pPr>
      <w:rPr>
        <w:rFonts w:ascii="Symbol" w:cs="Symbol" w:hAnsi="Symbol" w:hint="default"/>
      </w:rPr>
    </w:lvl>
    <w:lvl w:ilvl="2">
      <w:start w:val="1"/>
      <w:numFmt w:val="bullet"/>
      <w:lvlText w:val=""/>
      <w:lvlJc w:val="start"/>
      <w:pPr>
        <w:tabs>
          <w:tab w:pos="1440" w:val="num"/>
        </w:tabs>
        <w:ind w:hanging="360" w:start="1440"/>
      </w:pPr>
      <w:rPr>
        <w:rFonts w:ascii="Symbol" w:cs="Symbol" w:hAnsi="Symbol" w:hint="default"/>
      </w:rPr>
    </w:lvl>
    <w:lvl w:ilvl="3">
      <w:start w:val="1"/>
      <w:numFmt w:val="bullet"/>
      <w:lvlText w:val=""/>
      <w:lvlJc w:val="start"/>
      <w:pPr>
        <w:tabs>
          <w:tab w:pos="1800" w:val="num"/>
        </w:tabs>
        <w:ind w:hanging="360" w:start="1800"/>
      </w:pPr>
      <w:rPr>
        <w:rFonts w:ascii="Symbol" w:cs="Symbol" w:hAnsi="Symbol" w:hint="default"/>
      </w:rPr>
    </w:lvl>
    <w:lvl w:ilvl="4">
      <w:start w:val="1"/>
      <w:numFmt w:val="bullet"/>
      <w:lvlText w:val=""/>
      <w:lvlJc w:val="start"/>
      <w:pPr>
        <w:tabs>
          <w:tab w:pos="2160" w:val="num"/>
        </w:tabs>
        <w:ind w:hanging="360" w:start="2160"/>
      </w:pPr>
      <w:rPr>
        <w:rFonts w:ascii="Symbol" w:cs="Symbol" w:hAnsi="Symbol" w:hint="default"/>
      </w:rPr>
    </w:lvl>
    <w:lvl w:ilvl="5">
      <w:start w:val="1"/>
      <w:numFmt w:val="bullet"/>
      <w:lvlText w:val=""/>
      <w:lvlJc w:val="start"/>
      <w:pPr>
        <w:tabs>
          <w:tab w:pos="2520" w:val="num"/>
        </w:tabs>
        <w:ind w:hanging="360" w:start="2520"/>
      </w:pPr>
      <w:rPr>
        <w:rFonts w:ascii="Symbol" w:cs="Symbol" w:hAnsi="Symbol" w:hint="default"/>
      </w:rPr>
    </w:lvl>
    <w:lvl w:ilvl="6">
      <w:start w:val="1"/>
      <w:numFmt w:val="bullet"/>
      <w:lvlText w:val=""/>
      <w:lvlJc w:val="start"/>
      <w:pPr>
        <w:tabs>
          <w:tab w:pos="2880" w:val="num"/>
        </w:tabs>
        <w:ind w:hanging="360" w:start="2880"/>
      </w:pPr>
      <w:rPr>
        <w:rFonts w:ascii="Symbol" w:cs="Symbol" w:hAnsi="Symbol" w:hint="default"/>
      </w:rPr>
    </w:lvl>
    <w:lvl w:ilvl="7">
      <w:start w:val="1"/>
      <w:numFmt w:val="bullet"/>
      <w:lvlText w:val=""/>
      <w:lvlJc w:val="start"/>
      <w:pPr>
        <w:tabs>
          <w:tab w:pos="3240" w:val="num"/>
        </w:tabs>
        <w:ind w:hanging="360" w:start="3240"/>
      </w:pPr>
      <w:rPr>
        <w:rFonts w:ascii="Symbol" w:cs="Symbol" w:hAnsi="Symbol" w:hint="default"/>
      </w:rPr>
    </w:lvl>
    <w:lvl w:ilvl="8">
      <w:start w:val="1"/>
      <w:numFmt w:val="bullet"/>
      <w:lvlText w:val=""/>
      <w:lvlJc w:val="start"/>
      <w:pPr>
        <w:tabs>
          <w:tab w:pos="3600" w:val="num"/>
        </w:tabs>
        <w:ind w:hanging="360" w:start="3600"/>
      </w:pPr>
      <w:rPr>
        <w:rFonts w:ascii="Symbol" w:cs="Symbol" w:hAnsi="Symbol" w:hint="default"/>
      </w:rPr>
    </w:lvl>
  </w:abstractNum>
  <w:abstractNum w:abstractNumId="6">
    <w:lvl w:ilvl="0">
      <w:start w:val="1"/>
      <w:numFmt w:val="bullet"/>
      <w:lvlText w:val=""/>
      <w:lvlJc w:val="start"/>
      <w:pPr>
        <w:tabs>
          <w:tab w:pos="720" w:val="num"/>
        </w:tabs>
        <w:ind w:hanging="360" w:start="720"/>
      </w:pPr>
      <w:rPr>
        <w:rFonts w:ascii="Symbol" w:cs="Symbol" w:hAnsi="Symbol" w:hint="default"/>
      </w:rPr>
    </w:lvl>
    <w:lvl w:ilvl="1">
      <w:start w:val="1"/>
      <w:numFmt w:val="bullet"/>
      <w:lvlText w:val=""/>
      <w:lvlJc w:val="start"/>
      <w:pPr>
        <w:tabs>
          <w:tab w:pos="1080" w:val="num"/>
        </w:tabs>
        <w:ind w:hanging="360" w:start="1080"/>
      </w:pPr>
      <w:rPr>
        <w:rFonts w:ascii="Symbol" w:cs="Symbol" w:hAnsi="Symbol" w:hint="default"/>
      </w:rPr>
    </w:lvl>
    <w:lvl w:ilvl="2">
      <w:start w:val="1"/>
      <w:numFmt w:val="bullet"/>
      <w:lvlText w:val=""/>
      <w:lvlJc w:val="start"/>
      <w:pPr>
        <w:tabs>
          <w:tab w:pos="1440" w:val="num"/>
        </w:tabs>
        <w:ind w:hanging="360" w:start="1440"/>
      </w:pPr>
      <w:rPr>
        <w:rFonts w:ascii="Symbol" w:cs="Symbol" w:hAnsi="Symbol" w:hint="default"/>
      </w:rPr>
    </w:lvl>
    <w:lvl w:ilvl="3">
      <w:start w:val="1"/>
      <w:numFmt w:val="bullet"/>
      <w:lvlText w:val=""/>
      <w:lvlJc w:val="start"/>
      <w:pPr>
        <w:tabs>
          <w:tab w:pos="1800" w:val="num"/>
        </w:tabs>
        <w:ind w:hanging="360" w:start="1800"/>
      </w:pPr>
      <w:rPr>
        <w:rFonts w:ascii="Symbol" w:cs="Symbol" w:hAnsi="Symbol" w:hint="default"/>
      </w:rPr>
    </w:lvl>
    <w:lvl w:ilvl="4">
      <w:start w:val="1"/>
      <w:numFmt w:val="bullet"/>
      <w:lvlText w:val=""/>
      <w:lvlJc w:val="start"/>
      <w:pPr>
        <w:tabs>
          <w:tab w:pos="2160" w:val="num"/>
        </w:tabs>
        <w:ind w:hanging="360" w:start="2160"/>
      </w:pPr>
      <w:rPr>
        <w:rFonts w:ascii="Symbol" w:cs="Symbol" w:hAnsi="Symbol" w:hint="default"/>
      </w:rPr>
    </w:lvl>
    <w:lvl w:ilvl="5">
      <w:start w:val="1"/>
      <w:numFmt w:val="bullet"/>
      <w:lvlText w:val=""/>
      <w:lvlJc w:val="start"/>
      <w:pPr>
        <w:tabs>
          <w:tab w:pos="2520" w:val="num"/>
        </w:tabs>
        <w:ind w:hanging="360" w:start="2520"/>
      </w:pPr>
      <w:rPr>
        <w:rFonts w:ascii="Symbol" w:cs="Symbol" w:hAnsi="Symbol" w:hint="default"/>
      </w:rPr>
    </w:lvl>
    <w:lvl w:ilvl="6">
      <w:start w:val="1"/>
      <w:numFmt w:val="bullet"/>
      <w:lvlText w:val=""/>
      <w:lvlJc w:val="start"/>
      <w:pPr>
        <w:tabs>
          <w:tab w:pos="2880" w:val="num"/>
        </w:tabs>
        <w:ind w:hanging="360" w:start="2880"/>
      </w:pPr>
      <w:rPr>
        <w:rFonts w:ascii="Symbol" w:cs="Symbol" w:hAnsi="Symbol" w:hint="default"/>
      </w:rPr>
    </w:lvl>
    <w:lvl w:ilvl="7">
      <w:start w:val="1"/>
      <w:numFmt w:val="bullet"/>
      <w:lvlText w:val=""/>
      <w:lvlJc w:val="start"/>
      <w:pPr>
        <w:tabs>
          <w:tab w:pos="3240" w:val="num"/>
        </w:tabs>
        <w:ind w:hanging="360" w:start="3240"/>
      </w:pPr>
      <w:rPr>
        <w:rFonts w:ascii="Symbol" w:cs="Symbol" w:hAnsi="Symbol" w:hint="default"/>
      </w:rPr>
    </w:lvl>
    <w:lvl w:ilvl="8">
      <w:start w:val="1"/>
      <w:numFmt w:val="bullet"/>
      <w:lvlText w:val=""/>
      <w:lvlJc w:val="start"/>
      <w:pPr>
        <w:tabs>
          <w:tab w:pos="3600" w:val="num"/>
        </w:tabs>
        <w:ind w:hanging="360" w:start="3600"/>
      </w:pPr>
      <w:rPr>
        <w:rFonts w:ascii="Symbol" w:cs="Symbol" w:hAnsi="Symbol" w:hint="default"/>
      </w:rPr>
    </w:lvl>
  </w:abstractNum>
  <w:abstractNum w:abstractNumId="7">
    <w:lvl w:ilvl="0">
      <w:start w:val="1"/>
      <w:numFmt w:val="bullet"/>
      <w:suff w:val="nothing"/>
      <w:lvlText w:val=""/>
      <w:lvlJc w:val="start"/>
      <w:pPr>
        <w:ind w:hanging="0" w:start="0"/>
      </w:pPr>
      <w:rPr>
        <w:rFonts w:ascii="Symbol" w:cs="Symbol" w:hAnsi="Symbol" w:hint="default"/>
      </w:rPr>
    </w:lvl>
    <w:lvl w:ilvl="1">
      <w:start w:val="1"/>
      <w:numFmt w:val="bullet"/>
      <w:lvlText w:val=""/>
      <w:lvlJc w:val="start"/>
      <w:pPr>
        <w:tabs>
          <w:tab w:pos="1414" w:val="num"/>
        </w:tabs>
        <w:ind w:hanging="283" w:start="1414"/>
      </w:pPr>
      <w:rPr>
        <w:rFonts w:ascii="Symbol" w:cs="Symbol" w:hAnsi="Symbol" w:hint="default"/>
      </w:rPr>
    </w:lvl>
    <w:lvl w:ilvl="2">
      <w:start w:val="1"/>
      <w:numFmt w:val="bullet"/>
      <w:lvlText w:val=""/>
      <w:lvlJc w:val="start"/>
      <w:pPr>
        <w:tabs>
          <w:tab w:pos="2121" w:val="num"/>
        </w:tabs>
        <w:ind w:hanging="283" w:start="2121"/>
      </w:pPr>
      <w:rPr>
        <w:rFonts w:ascii="Symbol" w:cs="Symbol" w:hAnsi="Symbol" w:hint="default"/>
      </w:rPr>
    </w:lvl>
    <w:lvl w:ilvl="3">
      <w:start w:val="1"/>
      <w:numFmt w:val="bullet"/>
      <w:lvlText w:val=""/>
      <w:lvlJc w:val="start"/>
      <w:pPr>
        <w:tabs>
          <w:tab w:pos="2828" w:val="num"/>
        </w:tabs>
        <w:ind w:hanging="283" w:start="2828"/>
      </w:pPr>
      <w:rPr>
        <w:rFonts w:ascii="Symbol" w:cs="Symbol" w:hAnsi="Symbol" w:hint="default"/>
      </w:rPr>
    </w:lvl>
    <w:lvl w:ilvl="4">
      <w:start w:val="1"/>
      <w:numFmt w:val="bullet"/>
      <w:lvlText w:val=""/>
      <w:lvlJc w:val="start"/>
      <w:pPr>
        <w:tabs>
          <w:tab w:pos="3535" w:val="num"/>
        </w:tabs>
        <w:ind w:hanging="283" w:start="3535"/>
      </w:pPr>
      <w:rPr>
        <w:rFonts w:ascii="Symbol" w:cs="Symbol" w:hAnsi="Symbol" w:hint="default"/>
      </w:rPr>
    </w:lvl>
    <w:lvl w:ilvl="5">
      <w:start w:val="1"/>
      <w:numFmt w:val="bullet"/>
      <w:lvlText w:val=""/>
      <w:lvlJc w:val="start"/>
      <w:pPr>
        <w:tabs>
          <w:tab w:pos="4242" w:val="num"/>
        </w:tabs>
        <w:ind w:hanging="283" w:start="4242"/>
      </w:pPr>
      <w:rPr>
        <w:rFonts w:ascii="Symbol" w:cs="Symbol" w:hAnsi="Symbol" w:hint="default"/>
      </w:rPr>
    </w:lvl>
    <w:lvl w:ilvl="6">
      <w:start w:val="1"/>
      <w:numFmt w:val="bullet"/>
      <w:lvlText w:val=""/>
      <w:lvlJc w:val="start"/>
      <w:pPr>
        <w:tabs>
          <w:tab w:pos="4949" w:val="num"/>
        </w:tabs>
        <w:ind w:hanging="283" w:start="4949"/>
      </w:pPr>
      <w:rPr>
        <w:rFonts w:ascii="Symbol" w:cs="Symbol" w:hAnsi="Symbol" w:hint="default"/>
      </w:rPr>
    </w:lvl>
    <w:lvl w:ilvl="7">
      <w:start w:val="1"/>
      <w:numFmt w:val="bullet"/>
      <w:lvlText w:val=""/>
      <w:lvlJc w:val="start"/>
      <w:pPr>
        <w:tabs>
          <w:tab w:pos="5656" w:val="num"/>
        </w:tabs>
        <w:ind w:hanging="283" w:start="5656"/>
      </w:pPr>
      <w:rPr>
        <w:rFonts w:ascii="Symbol" w:cs="Symbol" w:hAnsi="Symbol" w:hint="default"/>
      </w:rPr>
    </w:lvl>
    <w:lvl w:ilvl="8">
      <w:start w:val="1"/>
      <w:numFmt w:val="bullet"/>
      <w:lvlText w:val=""/>
      <w:lvlJc w:val="start"/>
      <w:pPr>
        <w:tabs>
          <w:tab w:pos="6363" w:val="num"/>
        </w:tabs>
        <w:ind w:hanging="283" w:start="6363"/>
      </w:pPr>
      <w:rPr>
        <w:rFonts w:ascii="Symbol" w:cs="Symbol" w:hAnsi="Symbol" w:hint="default"/>
      </w:rPr>
    </w:lvl>
  </w:abstractNum>
  <w:abstractNum w:abstractNumId="8">
    <w:lvl w:ilvl="0">
      <w:start w:val="1"/>
      <w:numFmt w:val="none"/>
      <w:suff w:val="nothing"/>
      <w:lvlText w:val=""/>
      <w:lvlJc w:val="start"/>
      <w:pPr>
        <w:tabs>
          <w:tab w:pos="432" w:val="num"/>
        </w:tabs>
        <w:ind w:hanging="432" w:start="432"/>
      </w:pPr>
    </w:lvl>
    <w:lvl w:ilvl="1">
      <w:start w:val="1"/>
      <w:numFmt w:val="none"/>
      <w:suff w:val="nothing"/>
      <w:lvlText w:val=""/>
      <w:lvlJc w:val="start"/>
      <w:pPr>
        <w:tabs>
          <w:tab w:pos="576" w:val="num"/>
        </w:tabs>
        <w:ind w:hanging="576" w:start="576"/>
      </w:pPr>
    </w:lvl>
    <w:lvl w:ilvl="2">
      <w:start w:val="1"/>
      <w:numFmt w:val="none"/>
      <w:suff w:val="nothing"/>
      <w:lvlText w:val=""/>
      <w:lvlJc w:val="start"/>
      <w:pPr>
        <w:tabs>
          <w:tab w:pos="720" w:val="num"/>
        </w:tabs>
        <w:ind w:hanging="720" w:start="720"/>
      </w:pPr>
    </w:lvl>
    <w:lvl w:ilvl="3">
      <w:start w:val="1"/>
      <w:numFmt w:val="none"/>
      <w:suff w:val="nothing"/>
      <w:lvlText w:val=""/>
      <w:lvlJc w:val="start"/>
      <w:pPr>
        <w:tabs>
          <w:tab w:pos="864" w:val="num"/>
        </w:tabs>
        <w:ind w:hanging="864" w:start="864"/>
      </w:pPr>
    </w:lvl>
    <w:lvl w:ilvl="4">
      <w:start w:val="1"/>
      <w:numFmt w:val="none"/>
      <w:suff w:val="nothing"/>
      <w:lvlText w:val=""/>
      <w:lvlJc w:val="start"/>
      <w:pPr>
        <w:tabs>
          <w:tab w:pos="1008" w:val="num"/>
        </w:tabs>
        <w:ind w:hanging="1008" w:start="1008"/>
      </w:pPr>
    </w:lvl>
    <w:lvl w:ilvl="5">
      <w:start w:val="1"/>
      <w:numFmt w:val="none"/>
      <w:suff w:val="nothing"/>
      <w:lvlText w:val=""/>
      <w:lvlJc w:val="start"/>
      <w:pPr>
        <w:tabs>
          <w:tab w:pos="1152" w:val="num"/>
        </w:tabs>
        <w:ind w:hanging="1152" w:start="1152"/>
      </w:pPr>
    </w:lvl>
    <w:lvl w:ilvl="6">
      <w:start w:val="1"/>
      <w:numFmt w:val="none"/>
      <w:suff w:val="nothing"/>
      <w:lvlText w:val=""/>
      <w:lvlJc w:val="start"/>
      <w:pPr>
        <w:tabs>
          <w:tab w:pos="1296" w:val="num"/>
        </w:tabs>
        <w:ind w:hanging="1296" w:start="1296"/>
      </w:pPr>
    </w:lvl>
    <w:lvl w:ilvl="7">
      <w:start w:val="1"/>
      <w:numFmt w:val="none"/>
      <w:suff w:val="nothing"/>
      <w:lvlText w:val=""/>
      <w:lvlJc w:val="start"/>
      <w:pPr>
        <w:tabs>
          <w:tab w:pos="1440" w:val="num"/>
        </w:tabs>
        <w:ind w:hanging="1440" w:start="1440"/>
      </w:pPr>
    </w:lvl>
    <w:lvl w:ilvl="8">
      <w:start w:val="1"/>
      <w:numFmt w:val="none"/>
      <w:suff w:val="nothing"/>
      <w:lvlText w:val=""/>
      <w:lvlJc w:val="start"/>
      <w:pPr>
        <w:tabs>
          <w:tab w:pos="1584" w:val="num"/>
        </w:tabs>
        <w:ind w:hanging="1584" w:start="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w:style w:styleId="style0" w:type="paragraph">
    <w:name w:val="Normal"/>
    <w:next w:val="style0"/>
    <w:pPr>
      <w:widowControl w:val="false"/>
      <w:suppressAutoHyphens w:val="true"/>
      <w:kinsoku w:val="true"/>
      <w:overflowPunct w:val="true"/>
      <w:autoSpaceDE w:val="true"/>
    </w:pPr>
    <w:rPr>
      <w:rFonts w:ascii="Times New Roman" w:cs="Mangal" w:eastAsia="SimSun" w:hAnsi="Times New Roman"/>
      <w:color w:val="auto"/>
      <w:sz w:val="24"/>
      <w:szCs w:val="24"/>
      <w:lang w:bidi="hi-IN" w:eastAsia="zh-CN" w:val="fr-FR"/>
    </w:rPr>
  </w:style>
  <w:style w:styleId="style15" w:type="character">
    <w:name w:val="Police par défaut"/>
    <w:next w:val="style15"/>
    <w:rPr/>
  </w:style>
  <w:style w:styleId="style16" w:type="character">
    <w:name w:val="WW_CharLFO10LVL1"/>
    <w:next w:val="style16"/>
    <w:rPr>
      <w:rFonts w:ascii="OpenSymbol;Arial Unicode MS" w:cs="OpenSymbol;Arial Unicode MS" w:eastAsia="OpenSymbol;Arial Unicode MS" w:hAnsi="OpenSymbol;Arial Unicode MS"/>
    </w:rPr>
  </w:style>
  <w:style w:styleId="style17" w:type="character">
    <w:name w:val="WW_CharLFO10LVL2"/>
    <w:next w:val="style17"/>
    <w:rPr>
      <w:rFonts w:ascii="OpenSymbol;Arial Unicode MS" w:cs="OpenSymbol;Arial Unicode MS" w:eastAsia="OpenSymbol;Arial Unicode MS" w:hAnsi="OpenSymbol;Arial Unicode MS"/>
    </w:rPr>
  </w:style>
  <w:style w:styleId="style18" w:type="character">
    <w:name w:val="WW_CharLFO10LVL3"/>
    <w:next w:val="style18"/>
    <w:rPr>
      <w:rFonts w:ascii="OpenSymbol;Arial Unicode MS" w:cs="OpenSymbol;Arial Unicode MS" w:eastAsia="OpenSymbol;Arial Unicode MS" w:hAnsi="OpenSymbol;Arial Unicode MS"/>
    </w:rPr>
  </w:style>
  <w:style w:styleId="style19" w:type="character">
    <w:name w:val="WW_CharLFO10LVL4"/>
    <w:next w:val="style19"/>
    <w:rPr>
      <w:rFonts w:ascii="OpenSymbol;Arial Unicode MS" w:cs="OpenSymbol;Arial Unicode MS" w:eastAsia="OpenSymbol;Arial Unicode MS" w:hAnsi="OpenSymbol;Arial Unicode MS"/>
    </w:rPr>
  </w:style>
  <w:style w:styleId="style20" w:type="character">
    <w:name w:val="WW_CharLFO10LVL5"/>
    <w:next w:val="style20"/>
    <w:rPr>
      <w:rFonts w:ascii="OpenSymbol;Arial Unicode MS" w:cs="OpenSymbol;Arial Unicode MS" w:eastAsia="OpenSymbol;Arial Unicode MS" w:hAnsi="OpenSymbol;Arial Unicode MS"/>
    </w:rPr>
  </w:style>
  <w:style w:styleId="style21" w:type="character">
    <w:name w:val="WW_CharLFO10LVL6"/>
    <w:next w:val="style21"/>
    <w:rPr>
      <w:rFonts w:ascii="OpenSymbol;Arial Unicode MS" w:cs="OpenSymbol;Arial Unicode MS" w:eastAsia="OpenSymbol;Arial Unicode MS" w:hAnsi="OpenSymbol;Arial Unicode MS"/>
    </w:rPr>
  </w:style>
  <w:style w:styleId="style22" w:type="character">
    <w:name w:val="WW_CharLFO10LVL7"/>
    <w:next w:val="style22"/>
    <w:rPr>
      <w:rFonts w:ascii="OpenSymbol;Arial Unicode MS" w:cs="OpenSymbol;Arial Unicode MS" w:eastAsia="OpenSymbol;Arial Unicode MS" w:hAnsi="OpenSymbol;Arial Unicode MS"/>
    </w:rPr>
  </w:style>
  <w:style w:styleId="style23" w:type="character">
    <w:name w:val="WW_CharLFO10LVL8"/>
    <w:next w:val="style23"/>
    <w:rPr>
      <w:rFonts w:ascii="OpenSymbol;Arial Unicode MS" w:cs="OpenSymbol;Arial Unicode MS" w:eastAsia="OpenSymbol;Arial Unicode MS" w:hAnsi="OpenSymbol;Arial Unicode MS"/>
    </w:rPr>
  </w:style>
  <w:style w:styleId="style24" w:type="character">
    <w:name w:val="WW_CharLFO10LVL9"/>
    <w:next w:val="style24"/>
    <w:rPr>
      <w:rFonts w:ascii="OpenSymbol;Arial Unicode MS" w:cs="OpenSymbol;Arial Unicode MS" w:eastAsia="OpenSymbol;Arial Unicode MS" w:hAnsi="OpenSymbol;Arial Unicode MS"/>
    </w:rPr>
  </w:style>
  <w:style w:styleId="style25" w:type="character">
    <w:name w:val="Lien Internet"/>
    <w:next w:val="style25"/>
    <w:rPr>
      <w:color w:val="000080"/>
      <w:u w:val="single"/>
      <w:lang w:bidi="zxx-" w:eastAsia="zxx-" w:val="zxx-"/>
    </w:rPr>
  </w:style>
  <w:style w:styleId="style26" w:type="character">
    <w:name w:val="Puces"/>
    <w:next w:val="style26"/>
    <w:rPr>
      <w:rFonts w:ascii="OpenSymbol" w:cs="OpenSymbol" w:eastAsia="OpenSymbol" w:hAnsi="OpenSymbol"/>
    </w:rPr>
  </w:style>
  <w:style w:styleId="style27" w:type="character">
    <w:name w:val="Caractères de numérotation"/>
    <w:next w:val="style27"/>
    <w:rPr/>
  </w:style>
  <w:style w:styleId="style28" w:type="character">
    <w:name w:val="Accentuation forte"/>
    <w:next w:val="style28"/>
    <w:rPr>
      <w:b/>
      <w:bCs/>
    </w:rPr>
  </w:style>
  <w:style w:styleId="style29" w:type="paragraph">
    <w:name w:val="Titre"/>
    <w:basedOn w:val="style0"/>
    <w:next w:val="style30"/>
    <w:pPr>
      <w:keepNext/>
      <w:spacing w:after="120" w:before="240"/>
      <w:contextualSpacing w:val="false"/>
    </w:pPr>
    <w:rPr>
      <w:rFonts w:ascii="Arial" w:cs="Mangal" w:eastAsia="Microsoft YaHei" w:hAnsi="Arial"/>
      <w:sz w:val="28"/>
      <w:szCs w:val="28"/>
    </w:rPr>
  </w:style>
  <w:style w:styleId="style30" w:type="paragraph">
    <w:name w:val="Corps de texte"/>
    <w:basedOn w:val="style0"/>
    <w:next w:val="style30"/>
    <w:pPr>
      <w:spacing w:after="120" w:before="0"/>
      <w:contextualSpacing w:val="false"/>
    </w:pPr>
    <w:rPr/>
  </w:style>
  <w:style w:styleId="style31" w:type="paragraph">
    <w:name w:val="Liste"/>
    <w:basedOn w:val="style30"/>
    <w:next w:val="style31"/>
    <w:pPr/>
    <w:rPr>
      <w:rFonts w:cs="Mangal"/>
    </w:rPr>
  </w:style>
  <w:style w:styleId="style32" w:type="paragraph">
    <w:name w:val="Légende"/>
    <w:basedOn w:val="style0"/>
    <w:next w:val="style32"/>
    <w:pPr>
      <w:suppressLineNumbers/>
      <w:spacing w:after="120" w:before="120"/>
      <w:contextualSpacing w:val="false"/>
    </w:pPr>
    <w:rPr>
      <w:rFonts w:cs="Mangal"/>
      <w:i/>
      <w:iCs/>
      <w:sz w:val="24"/>
      <w:szCs w:val="24"/>
    </w:rPr>
  </w:style>
  <w:style w:styleId="style33" w:type="paragraph">
    <w:name w:val="Index"/>
    <w:basedOn w:val="style0"/>
    <w:next w:val="style33"/>
    <w:pPr>
      <w:suppressLineNumbers/>
    </w:pPr>
    <w:rPr>
      <w:rFonts w:cs="Mangal"/>
    </w:rPr>
  </w:style>
  <w:style w:styleId="style34" w:type="paragraph">
    <w:name w:val="Pied de page"/>
    <w:basedOn w:val="style0"/>
    <w:next w:val="style34"/>
    <w:pPr>
      <w:suppressLineNumbers/>
      <w:tabs>
        <w:tab w:leader="none" w:pos="5386" w:val="center"/>
        <w:tab w:leader="none" w:pos="10772" w:val="right"/>
      </w:tabs>
      <w:suppressAutoHyphens w:val="true"/>
    </w:pPr>
    <w:rPr/>
  </w:style>
  <w:style w:styleId="style35" w:type="paragraph">
    <w:name w:val="Contenu de tableau"/>
    <w:basedOn w:val="style0"/>
    <w:next w:val="style35"/>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alternatives-economiques.fr/blogs/abherve/2015/06/24/inscriptions-a-pole-emploi-en-mai-le-doigt-mouille-pour-estimer-la-pythie-pour-interpreter/" TargetMode="External"/><Relationship Id="rId3" Type="http://schemas.openxmlformats.org/officeDocument/2006/relationships/image" Target="media/image1.png"/><Relationship Id="rId4" Type="http://schemas.openxmlformats.org/officeDocument/2006/relationships/hyperlink" Target="http://dessinemoileco.com/comment-mesure-t-on-le-chomage/" TargetMode="Externa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yperlink" Target="http://www.lefigaro.fr/emploi/2015/04/09/09005-20150409ARTFIG00114-l-inversion-de-la-courbe-du-chomage-en-2016-mythe-ou-realite.php" TargetMode="External"/><Relationship Id="rId9" Type="http://schemas.openxmlformats.org/officeDocument/2006/relationships/hyperlink" Target="http://plus.lefigaro.fr/tag/pole-emploi" TargetMode="External"/><Relationship Id="rId10" Type="http://schemas.openxmlformats.org/officeDocument/2006/relationships/hyperlink" Target="http://bmo.pole-emploi.org/static/bmo2015" TargetMode="External"/><Relationship Id="rId11" Type="http://schemas.openxmlformats.org/officeDocument/2006/relationships/hyperlink" Target="http://www.lefigaro.fr/emploi/2015/03/05/09005-20150305ARTFIG00177-l-inversion-de-la-courbe-du-chomage-n-est-pas-pour-maintenant.php" TargetMode="External"/><Relationship Id="rId12" Type="http://schemas.openxmlformats.org/officeDocument/2006/relationships/hyperlink" Target="http://www.coe-rexecode.fr/public/Indicateurs-et-Graphiques/Indicateurs-du-cout-de-l-heure-de-travail-en-Europe" TargetMode="Externa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yperlink" Target="http://www.coe.gouv.fr/Adoption-du-rapport-Les-reformes-des-marches-du-travail-en-Europe.html" TargetMode="External"/><Relationship Id="rId18" Type="http://schemas.openxmlformats.org/officeDocument/2006/relationships/footer" Target="footer1.xm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3593</TotalTime>
  <Application>OpenOffice.org/3.3$Win32 OpenOffice.org_project/330m20$Build-9567</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2016-04-29T12:16:19Z</dcterms:created>
  <dc:creator>stéphanie guyon</dc:creator>
  <cp:lastModifiedBy>stéphanie guyon</cp:lastModifiedBy>
  <dcterms:modified xsi:type="dcterms:W3CDTF">2016-04-29T13:16:12Z</dcterms:modified>
  <cp:revision>3</cp:revision>
</cp:coreProperties>
</file>