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3163" w14:textId="77777777" w:rsidR="008654B4" w:rsidRDefault="008654B4" w:rsidP="008654B4">
      <w:pPr>
        <w:jc w:val="both"/>
      </w:pPr>
      <w:r>
        <w:rPr>
          <w:noProof/>
        </w:rPr>
        <mc:AlternateContent>
          <mc:Choice Requires="wps">
            <w:drawing>
              <wp:anchor distT="0" distB="0" distL="114300" distR="114300" simplePos="0" relativeHeight="251659264" behindDoc="0" locked="0" layoutInCell="1" allowOverlap="1" wp14:anchorId="3AF90D02" wp14:editId="3E6CE1BE">
                <wp:simplePos x="0" y="0"/>
                <wp:positionH relativeFrom="column">
                  <wp:posOffset>0</wp:posOffset>
                </wp:positionH>
                <wp:positionV relativeFrom="paragraph">
                  <wp:posOffset>0</wp:posOffset>
                </wp:positionV>
                <wp:extent cx="1828800" cy="1828800"/>
                <wp:effectExtent l="0" t="0" r="0" b="0"/>
                <wp:wrapSquare wrapText="bothSides"/>
                <wp:docPr id="1384557412"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153BEB" w14:textId="102EC332" w:rsidR="006A5756" w:rsidRPr="0083404E" w:rsidRDefault="006A5756" w:rsidP="0083404E">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Fiche </w:t>
                            </w:r>
                            <w:r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méthodologi</w:t>
                            </w:r>
                            <w:r w:rsidR="0083404E"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w:t>
                            </w:r>
                          </w:p>
                          <w:p w14:paraId="6350FE44" w14:textId="179959C3" w:rsidR="008654B4" w:rsidRPr="0083404E" w:rsidRDefault="008654B4" w:rsidP="0083404E">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SAVOIR ANALYSER UN TABLEAU OU UN GRAPHIQUE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F90D02"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71153BEB" w14:textId="102EC332" w:rsidR="006A5756" w:rsidRPr="0083404E" w:rsidRDefault="006A5756" w:rsidP="0083404E">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Fiche </w:t>
                      </w:r>
                      <w:r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méthodologi</w:t>
                      </w:r>
                      <w:r w:rsidR="0083404E"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w:t>
                      </w:r>
                    </w:p>
                    <w:p w14:paraId="6350FE44" w14:textId="179959C3" w:rsidR="008654B4" w:rsidRPr="0083404E" w:rsidRDefault="008654B4" w:rsidP="0083404E">
                      <w:pPr>
                        <w:pBdr>
                          <w:top w:val="single" w:sz="4" w:space="1" w:color="auto"/>
                          <w:left w:val="single" w:sz="4" w:space="4" w:color="auto"/>
                          <w:bottom w:val="single" w:sz="4" w:space="1" w:color="auto"/>
                          <w:right w:val="single" w:sz="4" w:space="4" w:color="auto"/>
                        </w:pBdr>
                        <w:spacing w:after="0" w:line="240" w:lineRule="auto"/>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04E">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SAVOIR ANALYSER UN TABLEAU OU UN GRAPHIQUE</w:t>
                      </w:r>
                    </w:p>
                  </w:txbxContent>
                </v:textbox>
                <w10:wrap type="square"/>
              </v:shape>
            </w:pict>
          </mc:Fallback>
        </mc:AlternateContent>
      </w:r>
      <w:r>
        <w:t xml:space="preserve">L’analyse d’un tableau ou d’un graphique met en jeu des compétences qui doivent être préparées tout au long de l’année. Elle doit permettre de déterminer les informations essentielles et au final d’élaborer une réponse à la question posée. Cet exemple permet de comprendre les trois étapes nécessaires à l’analyse du tableau ou du graphique. </w:t>
      </w:r>
    </w:p>
    <w:p w14:paraId="4AF1E5E4" w14:textId="77777777" w:rsidR="008654B4" w:rsidRDefault="008654B4" w:rsidP="008654B4">
      <w:pPr>
        <w:jc w:val="both"/>
      </w:pPr>
    </w:p>
    <w:p w14:paraId="5D01195D" w14:textId="6CED6767" w:rsidR="008654B4" w:rsidRPr="004B586B" w:rsidRDefault="008654B4" w:rsidP="008654B4">
      <w:pPr>
        <w:jc w:val="both"/>
      </w:pPr>
      <w:r>
        <w:sym w:font="Wingdings" w:char="F08C"/>
      </w:r>
      <w:r>
        <w:t xml:space="preserve">  </w:t>
      </w:r>
      <w:r w:rsidRPr="004B586B">
        <w:rPr>
          <w:b/>
          <w:bCs/>
          <w:u w:val="single"/>
        </w:rPr>
        <w:t>Identifier l’environnement du tableau ou du graphique</w:t>
      </w:r>
      <w:r w:rsidR="004B586B">
        <w:rPr>
          <w:b/>
          <w:bCs/>
          <w:u w:val="single"/>
        </w:rPr>
        <w:t> </w:t>
      </w:r>
      <w:r w:rsidR="004B586B">
        <w:t>:</w:t>
      </w:r>
    </w:p>
    <w:p w14:paraId="3D3D8C5F" w14:textId="38126248" w:rsidR="008654B4" w:rsidRDefault="008654B4" w:rsidP="008654B4">
      <w:pPr>
        <w:jc w:val="both"/>
      </w:pPr>
      <w:r>
        <w:t xml:space="preserve">Cette étape consiste à repérer : </w:t>
      </w:r>
    </w:p>
    <w:p w14:paraId="0D03AFBE" w14:textId="273A9169" w:rsidR="008654B4" w:rsidRDefault="008654B4" w:rsidP="008654B4">
      <w:pPr>
        <w:jc w:val="both"/>
      </w:pPr>
      <w:r>
        <w:t xml:space="preserve">- </w:t>
      </w:r>
      <w:r w:rsidR="00B84C9D" w:rsidRPr="004B586B">
        <w:rPr>
          <w:b/>
          <w:bCs/>
        </w:rPr>
        <w:t>L</w:t>
      </w:r>
      <w:r w:rsidRPr="004B586B">
        <w:rPr>
          <w:b/>
          <w:bCs/>
        </w:rPr>
        <w:t>e titre</w:t>
      </w:r>
      <w:r>
        <w:t xml:space="preserve"> qui donne des informations utiles aux notions abordées. Assurez-vous que vous comprenez les informations spécifiées dans le titre. </w:t>
      </w:r>
    </w:p>
    <w:p w14:paraId="4FC98485" w14:textId="7A5FB92E" w:rsidR="008654B4" w:rsidRDefault="00A1449D" w:rsidP="00B84C9D">
      <w:pPr>
        <w:jc w:val="both"/>
      </w:pPr>
      <w:r>
        <w:t xml:space="preserve">- </w:t>
      </w:r>
      <w:r w:rsidR="00B84C9D" w:rsidRPr="004B586B">
        <w:rPr>
          <w:b/>
          <w:bCs/>
        </w:rPr>
        <w:t>L</w:t>
      </w:r>
      <w:r w:rsidRPr="004B586B">
        <w:rPr>
          <w:b/>
          <w:bCs/>
        </w:rPr>
        <w:t>a date</w:t>
      </w:r>
      <w:r>
        <w:t xml:space="preserve"> </w:t>
      </w:r>
      <w:r w:rsidR="00B84C9D">
        <w:t>nous sensibilise sur l</w:t>
      </w:r>
      <w:r w:rsidR="000524D1">
        <w:t xml:space="preserve">e caractère récent ou non </w:t>
      </w:r>
      <w:r w:rsidR="00B84C9D">
        <w:t xml:space="preserve">des informations. Ces dernières peuvent devenir obsolètes. Mais, aussi bien pour le tableau que pour le graphique, des comparaisons dans le temps peuvent être nécessaires pour la rédaction de la réponse afin d’observer l’évolution de phénomènes économiques (tels que l’évolution du pouvoir d’achat). </w:t>
      </w:r>
    </w:p>
    <w:p w14:paraId="22712BF2" w14:textId="77777777" w:rsidR="00B84C9D" w:rsidRDefault="00B84C9D" w:rsidP="00B84C9D">
      <w:pPr>
        <w:jc w:val="both"/>
      </w:pPr>
      <w:r>
        <w:t xml:space="preserve">- </w:t>
      </w:r>
      <w:r w:rsidRPr="004B586B">
        <w:rPr>
          <w:b/>
          <w:bCs/>
        </w:rPr>
        <w:t>La source</w:t>
      </w:r>
      <w:r>
        <w:t xml:space="preserve"> informe sur la crédibilité des informations fournies.</w:t>
      </w:r>
    </w:p>
    <w:p w14:paraId="4DB45180" w14:textId="455020E2" w:rsidR="00B84C9D" w:rsidRDefault="00B84C9D" w:rsidP="00B84C9D">
      <w:pPr>
        <w:jc w:val="both"/>
      </w:pPr>
      <w:r>
        <w:t xml:space="preserve">- </w:t>
      </w:r>
      <w:r w:rsidR="000524D1">
        <w:rPr>
          <w:b/>
          <w:bCs/>
        </w:rPr>
        <w:t>L</w:t>
      </w:r>
      <w:r w:rsidR="000524D1" w:rsidRPr="004B586B">
        <w:rPr>
          <w:b/>
          <w:bCs/>
        </w:rPr>
        <w:t xml:space="preserve">e </w:t>
      </w:r>
      <w:r w:rsidRPr="004B586B">
        <w:rPr>
          <w:b/>
          <w:bCs/>
        </w:rPr>
        <w:t>type de tableau</w:t>
      </w:r>
      <w:r>
        <w:t xml:space="preserve"> (à simple entrée- mettant en jeu un seul critère d’analyse - ou à double entrée -donc plusieurs critères d’analyse) ou le type de graphique (une courbe, un histogramme, un diagramme circulaire) nous permettent d’affiner notre analyse. </w:t>
      </w:r>
    </w:p>
    <w:p w14:paraId="349F250A" w14:textId="54E40A62" w:rsidR="00B84C9D" w:rsidRDefault="00B84C9D" w:rsidP="00B84C9D">
      <w:pPr>
        <w:jc w:val="both"/>
      </w:pPr>
      <w:r>
        <w:t xml:space="preserve">- </w:t>
      </w:r>
      <w:r w:rsidRPr="004B586B">
        <w:rPr>
          <w:b/>
          <w:bCs/>
        </w:rPr>
        <w:t>Les variables étudiées</w:t>
      </w:r>
      <w:r>
        <w:t xml:space="preserve"> : concernant les tableaux, les titres des colonnes ou des lignes nous fournissent des informations utiles à la rédaction de la réponse. De même, l’intitulé « total » est à prendre en compte en premier afin d’établir des informations au début de la réponse. </w:t>
      </w:r>
      <w:r w:rsidR="004B586B">
        <w:t xml:space="preserve">Pour ce qui est des graphiques, les variables étudiées sont à observer en abscisse ou en ordonnée et permettent de quantifier un phénomène. </w:t>
      </w:r>
    </w:p>
    <w:p w14:paraId="0694152E" w14:textId="05B7551D" w:rsidR="004B586B" w:rsidRDefault="004B586B" w:rsidP="00B84C9D">
      <w:pPr>
        <w:jc w:val="both"/>
      </w:pPr>
      <w:r>
        <w:t xml:space="preserve">- </w:t>
      </w:r>
      <w:r w:rsidRPr="004B586B">
        <w:rPr>
          <w:b/>
          <w:bCs/>
        </w:rPr>
        <w:t>L’unité de mesure</w:t>
      </w:r>
      <w:r>
        <w:t xml:space="preserve"> qui peut être soit en valeur absolue  (en euros, en milliers, en milliards) ou en valeur relative (en % dans un diagramme circulaire par exemple).  </w:t>
      </w:r>
    </w:p>
    <w:p w14:paraId="2358AECF" w14:textId="435AD051" w:rsidR="00AB2E00" w:rsidRDefault="008654B4">
      <w:r>
        <w:t xml:space="preserve"> </w:t>
      </w:r>
      <w:r w:rsidR="004B586B">
        <w:sym w:font="Wingdings" w:char="F08D"/>
      </w:r>
      <w:r w:rsidR="004B586B">
        <w:t xml:space="preserve"> </w:t>
      </w:r>
      <w:r w:rsidR="004B586B" w:rsidRPr="00F507B9">
        <w:rPr>
          <w:b/>
          <w:bCs/>
        </w:rPr>
        <w:t>Lire et interpréter les données importantes d’un document de nature économique</w:t>
      </w:r>
      <w:r w:rsidR="004B586B">
        <w:t xml:space="preserve"> </w:t>
      </w:r>
    </w:p>
    <w:tbl>
      <w:tblPr>
        <w:tblStyle w:val="Grilledutableau"/>
        <w:tblW w:w="0" w:type="auto"/>
        <w:tblLook w:val="04A0" w:firstRow="1" w:lastRow="0" w:firstColumn="1" w:lastColumn="0" w:noHBand="0" w:noVBand="1"/>
      </w:tblPr>
      <w:tblGrid>
        <w:gridCol w:w="4957"/>
        <w:gridCol w:w="4961"/>
      </w:tblGrid>
      <w:tr w:rsidR="004B586B" w:rsidRPr="00F507B9" w14:paraId="572C5AD3" w14:textId="77777777" w:rsidTr="0083404E">
        <w:tc>
          <w:tcPr>
            <w:tcW w:w="4957" w:type="dxa"/>
          </w:tcPr>
          <w:p w14:paraId="27D13259" w14:textId="0E04878B" w:rsidR="004B586B" w:rsidRPr="00F507B9" w:rsidRDefault="004B586B" w:rsidP="00F507B9">
            <w:pPr>
              <w:jc w:val="center"/>
              <w:rPr>
                <w:b/>
                <w:bCs/>
              </w:rPr>
            </w:pPr>
            <w:r w:rsidRPr="00F507B9">
              <w:rPr>
                <w:b/>
                <w:bCs/>
              </w:rPr>
              <w:t>Analyser un tableau</w:t>
            </w:r>
          </w:p>
        </w:tc>
        <w:tc>
          <w:tcPr>
            <w:tcW w:w="4961" w:type="dxa"/>
          </w:tcPr>
          <w:p w14:paraId="1F85481E" w14:textId="0755AFA8" w:rsidR="004B586B" w:rsidRPr="00F507B9" w:rsidRDefault="004B586B" w:rsidP="00F507B9">
            <w:pPr>
              <w:jc w:val="center"/>
              <w:rPr>
                <w:b/>
                <w:bCs/>
              </w:rPr>
            </w:pPr>
            <w:r w:rsidRPr="00F507B9">
              <w:rPr>
                <w:b/>
                <w:bCs/>
              </w:rPr>
              <w:t>Analyser un graphique</w:t>
            </w:r>
          </w:p>
        </w:tc>
      </w:tr>
      <w:tr w:rsidR="004B586B" w14:paraId="418FE0B1" w14:textId="77777777" w:rsidTr="0083404E">
        <w:tc>
          <w:tcPr>
            <w:tcW w:w="4957" w:type="dxa"/>
          </w:tcPr>
          <w:p w14:paraId="4218C39E" w14:textId="77777777" w:rsidR="004B586B" w:rsidRDefault="00F507B9" w:rsidP="00F507B9">
            <w:pPr>
              <w:jc w:val="both"/>
            </w:pPr>
            <w:r>
              <w:t>- Une vue d’ensemble du tableau est nécessaire surtout lorsque figure une colonne « total ».</w:t>
            </w:r>
          </w:p>
          <w:p w14:paraId="7AA003FC" w14:textId="77777777" w:rsidR="00F507B9" w:rsidRDefault="00F507B9" w:rsidP="00F507B9">
            <w:pPr>
              <w:jc w:val="both"/>
            </w:pPr>
            <w:r>
              <w:t xml:space="preserve">- De même, essayez, par une phrase simple, d’exprimer le thème central évoqué par le tableau. Cela vous sera bien utile afin de mobiliser les connaissances nécessaires pour répondre aux questions posées.  </w:t>
            </w:r>
          </w:p>
          <w:p w14:paraId="5BA525C5" w14:textId="71E4AABD" w:rsidR="00F507B9" w:rsidRDefault="00F507B9" w:rsidP="00F507B9">
            <w:pPr>
              <w:jc w:val="both"/>
            </w:pPr>
            <w:r>
              <w:t>- Enfin, repérez les données significatives de ce tableau. En effet, vous ne pourrez pas tout expliquer. Le but est de dégager des tendances comme les valeurs les plus hautes ou les plus faibles, des valeurs positives parmi des valeurs négatives et inversement.</w:t>
            </w:r>
          </w:p>
        </w:tc>
        <w:tc>
          <w:tcPr>
            <w:tcW w:w="4961" w:type="dxa"/>
          </w:tcPr>
          <w:p w14:paraId="1A221CAD" w14:textId="77777777" w:rsidR="004B586B" w:rsidRDefault="00F507B9" w:rsidP="00F507B9">
            <w:pPr>
              <w:jc w:val="both"/>
            </w:pPr>
            <w:r>
              <w:t xml:space="preserve">- En fonction de la question, il vous faudra décrire le phénomène présenté, le commenter ou encore utiliser votre analyse. </w:t>
            </w:r>
          </w:p>
          <w:p w14:paraId="287F7DCD" w14:textId="77777777" w:rsidR="00F507B9" w:rsidRDefault="00F507B9" w:rsidP="00F507B9">
            <w:pPr>
              <w:jc w:val="both"/>
            </w:pPr>
            <w:r>
              <w:t>- Il vous faudra dégager les tendances, à la hausse ou à la baisse, les facteurs les plus importants.</w:t>
            </w:r>
          </w:p>
          <w:p w14:paraId="69A6DD97" w14:textId="74296DC4" w:rsidR="00F507B9" w:rsidRDefault="00F507B9" w:rsidP="00F507B9">
            <w:pPr>
              <w:jc w:val="both"/>
            </w:pPr>
            <w:r>
              <w:t xml:space="preserve">- Vos connaissances vous seront alors utiles pour expliquer notamment les causes, les conséquences des faits illustrés par le graphique.                 </w:t>
            </w:r>
          </w:p>
        </w:tc>
      </w:tr>
    </w:tbl>
    <w:p w14:paraId="2B8B896E" w14:textId="77777777" w:rsidR="00F507B9" w:rsidRDefault="00F507B9"/>
    <w:p w14:paraId="60EE1A1E" w14:textId="77777777" w:rsidR="0083404E" w:rsidRDefault="0083404E" w:rsidP="0083404E"/>
    <w:p w14:paraId="76413241" w14:textId="77777777" w:rsidR="0083404E" w:rsidRPr="0083404E" w:rsidRDefault="0083404E" w:rsidP="0083404E">
      <w:pPr>
        <w:sectPr w:rsidR="0083404E" w:rsidRPr="0083404E" w:rsidSect="00F507B9">
          <w:footerReference w:type="default" r:id="rId7"/>
          <w:pgSz w:w="11906" w:h="16838"/>
          <w:pgMar w:top="720" w:right="720" w:bottom="720" w:left="720" w:header="708" w:footer="708" w:gutter="0"/>
          <w:cols w:space="708"/>
          <w:docGrid w:linePitch="360"/>
        </w:sectPr>
      </w:pPr>
    </w:p>
    <w:p w14:paraId="2819A38D" w14:textId="117FB438" w:rsidR="004B586B" w:rsidRDefault="00F507B9">
      <w:r>
        <w:lastRenderedPageBreak/>
        <w:sym w:font="Wingdings" w:char="F08E"/>
      </w:r>
      <w:r>
        <w:t xml:space="preserve"> </w:t>
      </w:r>
      <w:r w:rsidRPr="00F507B9">
        <w:rPr>
          <w:b/>
          <w:bCs/>
          <w:u w:val="single"/>
        </w:rPr>
        <w:t>La rédaction de la réponse</w:t>
      </w:r>
      <w:r>
        <w:t xml:space="preserve"> </w:t>
      </w:r>
    </w:p>
    <w:p w14:paraId="62F80983" w14:textId="324C0A62" w:rsidR="00F507B9" w:rsidRDefault="00F507B9" w:rsidP="00591554">
      <w:pPr>
        <w:jc w:val="both"/>
      </w:pPr>
      <w:r>
        <w:t xml:space="preserve">Cette phase est prépondérante et vise à : </w:t>
      </w:r>
    </w:p>
    <w:p w14:paraId="7B6CC07B" w14:textId="77777777" w:rsidR="00F507B9" w:rsidRDefault="00F507B9" w:rsidP="00591554">
      <w:pPr>
        <w:jc w:val="both"/>
      </w:pPr>
      <w:r>
        <w:t xml:space="preserve">- </w:t>
      </w:r>
      <w:r w:rsidRPr="00591554">
        <w:rPr>
          <w:b/>
          <w:bCs/>
        </w:rPr>
        <w:t>comprendre la question</w:t>
      </w:r>
      <w:r>
        <w:t> : lisez attentivement la question et pensez à la reformuler. Il est nécessaire de connaître le sens des principaux verbes directeurs afin d’avoir une idée précise de la consigne attendue : identifier, analyser, expliquez, établir la relation….</w:t>
      </w:r>
    </w:p>
    <w:p w14:paraId="1E2646C8" w14:textId="61787B9B" w:rsidR="00F507B9" w:rsidRDefault="00F507B9" w:rsidP="00591554">
      <w:pPr>
        <w:jc w:val="both"/>
      </w:pPr>
      <w:r>
        <w:t xml:space="preserve">- </w:t>
      </w:r>
      <w:r w:rsidRPr="00591554">
        <w:rPr>
          <w:b/>
          <w:bCs/>
        </w:rPr>
        <w:t>Rédiger la réponse</w:t>
      </w:r>
      <w:r>
        <w:t xml:space="preserve"> : il faut alors répondre à la question posée en débutant par une phrase </w:t>
      </w:r>
      <w:r w:rsidR="00591554">
        <w:t xml:space="preserve">d’accroche, en définissant les mots-clés liés à la question et en structurant votre réponse. L’utilisation des connaissances personnelles peut aussi être très utile et permet de faire la différence avec des candidats moins préparés.  </w:t>
      </w:r>
    </w:p>
    <w:p w14:paraId="72099BCD" w14:textId="77777777" w:rsidR="00591554" w:rsidRDefault="00591554" w:rsidP="0059155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591554" w14:paraId="525FC17D" w14:textId="77777777" w:rsidTr="00EF2B34">
        <w:tc>
          <w:tcPr>
            <w:tcW w:w="8647" w:type="dxa"/>
          </w:tcPr>
          <w:p w14:paraId="4B40319F" w14:textId="329EC34F" w:rsidR="00591554" w:rsidRPr="00591554" w:rsidRDefault="00AE3E4E" w:rsidP="00591554">
            <w:pPr>
              <w:jc w:val="both"/>
              <w:rPr>
                <w:rFonts w:ascii="Times New Roman" w:hAnsi="Times New Roman" w:cs="Times New Roman"/>
                <w:b/>
                <w:bCs/>
              </w:rPr>
            </w:pPr>
            <w:r>
              <w:rPr>
                <w:noProof/>
              </w:rPr>
              <mc:AlternateContent>
                <mc:Choice Requires="wps">
                  <w:drawing>
                    <wp:anchor distT="0" distB="0" distL="114300" distR="114300" simplePos="0" relativeHeight="251661312" behindDoc="0" locked="0" layoutInCell="1" allowOverlap="1" wp14:anchorId="3E653E73" wp14:editId="230AEFF3">
                      <wp:simplePos x="0" y="0"/>
                      <wp:positionH relativeFrom="column">
                        <wp:posOffset>0</wp:posOffset>
                      </wp:positionH>
                      <wp:positionV relativeFrom="paragraph">
                        <wp:posOffset>0</wp:posOffset>
                      </wp:positionV>
                      <wp:extent cx="1828800" cy="1404000"/>
                      <wp:effectExtent l="0" t="0" r="0" b="5715"/>
                      <wp:wrapSquare wrapText="bothSides"/>
                      <wp:docPr id="1166821147" name="Zone de texte 1"/>
                      <wp:cNvGraphicFramePr/>
                      <a:graphic xmlns:a="http://schemas.openxmlformats.org/drawingml/2006/main">
                        <a:graphicData uri="http://schemas.microsoft.com/office/word/2010/wordprocessingShape">
                          <wps:wsp>
                            <wps:cNvSpPr txBox="1"/>
                            <wps:spPr>
                              <a:xfrm>
                                <a:off x="0" y="0"/>
                                <a:ext cx="1828800" cy="1404000"/>
                              </a:xfrm>
                              <a:prstGeom prst="rect">
                                <a:avLst/>
                              </a:prstGeom>
                              <a:noFill/>
                              <a:ln>
                                <a:noFill/>
                              </a:ln>
                            </wps:spPr>
                            <wps:txbx>
                              <w:txbxContent>
                                <w:p w14:paraId="4A8D9A68" w14:textId="674EF248" w:rsidR="00AE3E4E" w:rsidRPr="00AE3E4E" w:rsidRDefault="00AE3E4E" w:rsidP="00AE3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E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 de graphique :  le pouvoir d’achat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53E73" id="_x0000_s1027" type="#_x0000_t202" style="position:absolute;left:0;text-align:left;margin-left:0;margin-top:0;width:2in;height:110.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" filled="f" stroked="f">
                      <v:textbox>
                        <w:txbxContent>
                          <w:p w14:paraId="4A8D9A68" w14:textId="674EF248" w:rsidR="00AE3E4E" w:rsidRPr="00AE3E4E" w:rsidRDefault="00AE3E4E" w:rsidP="00AE3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E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 de graphique :  le pouvoir d’achat</w:t>
                            </w:r>
                          </w:p>
                        </w:txbxContent>
                      </v:textbox>
                      <w10:wrap type="square"/>
                    </v:shape>
                  </w:pict>
                </mc:Fallback>
              </mc:AlternateContent>
            </w:r>
          </w:p>
          <w:p w14:paraId="78BC8038" w14:textId="77777777" w:rsidR="00591554" w:rsidRPr="00591554" w:rsidRDefault="00591554" w:rsidP="00591554">
            <w:pPr>
              <w:jc w:val="both"/>
              <w:rPr>
                <w:rFonts w:ascii="Times New Roman" w:hAnsi="Times New Roman" w:cs="Times New Roman"/>
                <w:b/>
                <w:bCs/>
              </w:rPr>
            </w:pPr>
          </w:p>
          <w:p w14:paraId="728FCDEA" w14:textId="77777777" w:rsidR="00591554" w:rsidRPr="00591554" w:rsidRDefault="00591554" w:rsidP="00591554">
            <w:pPr>
              <w:spacing w:before="120" w:after="120"/>
              <w:jc w:val="both"/>
              <w:rPr>
                <w:rFonts w:ascii="Times New Roman" w:hAnsi="Times New Roman" w:cs="Times New Roman"/>
                <w:b/>
                <w:bCs/>
              </w:rPr>
            </w:pPr>
            <w:r w:rsidRPr="00591554">
              <w:rPr>
                <w:rFonts w:ascii="Times New Roman" w:hAnsi="Times New Roman" w:cs="Times New Roman"/>
                <w:b/>
                <w:bCs/>
                <w:u w:val="single"/>
              </w:rPr>
              <w:t>Annexe 1</w:t>
            </w:r>
            <w:r w:rsidRPr="00591554">
              <w:rPr>
                <w:rFonts w:ascii="Times New Roman" w:hAnsi="Times New Roman" w:cs="Times New Roman"/>
                <w:b/>
                <w:bCs/>
              </w:rPr>
              <w:t xml:space="preserve"> : évolution du  pouvoir d’achat des ménages de 1960 à 2021 en France    </w:t>
            </w:r>
          </w:p>
          <w:p w14:paraId="11DB87AA" w14:textId="77777777" w:rsidR="00591554" w:rsidRDefault="00591554" w:rsidP="00591554">
            <w:pPr>
              <w:jc w:val="center"/>
            </w:pPr>
            <w:r>
              <w:rPr>
                <w:noProof/>
              </w:rPr>
              <w:drawing>
                <wp:inline distT="0" distB="0" distL="0" distR="0" wp14:anchorId="2416E1A7" wp14:editId="0208B3BC">
                  <wp:extent cx="5403850" cy="278511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5078" cy="2785743"/>
                          </a:xfrm>
                          <a:prstGeom prst="rect">
                            <a:avLst/>
                          </a:prstGeom>
                          <a:noFill/>
                          <a:ln>
                            <a:noFill/>
                          </a:ln>
                        </pic:spPr>
                      </pic:pic>
                    </a:graphicData>
                  </a:graphic>
                </wp:inline>
              </w:drawing>
            </w:r>
          </w:p>
          <w:p w14:paraId="2DF04FC3" w14:textId="77777777" w:rsidR="00591554" w:rsidRPr="00591554" w:rsidRDefault="00591554" w:rsidP="00591554">
            <w:pPr>
              <w:jc w:val="right"/>
              <w:rPr>
                <w:rFonts w:ascii="Times New Roman" w:hAnsi="Times New Roman" w:cs="Times New Roman"/>
                <w:i/>
                <w:iCs/>
                <w:sz w:val="20"/>
                <w:szCs w:val="20"/>
              </w:rPr>
            </w:pPr>
            <w:r w:rsidRPr="00591554">
              <w:rPr>
                <w:rFonts w:ascii="Times New Roman" w:hAnsi="Times New Roman" w:cs="Times New Roman"/>
                <w:i/>
                <w:iCs/>
                <w:sz w:val="20"/>
                <w:szCs w:val="20"/>
              </w:rPr>
              <w:t xml:space="preserve">Source : INSEE, outil interactif, tableau de bord de l’économie française, thème « évolution du revenu disponible brut et du pouvoir d’achat »   </w:t>
            </w:r>
          </w:p>
          <w:p w14:paraId="7730BEDB" w14:textId="77777777" w:rsidR="00591554" w:rsidRDefault="00591554" w:rsidP="00591554">
            <w:pPr>
              <w:jc w:val="both"/>
              <w:rPr>
                <w:rFonts w:ascii="Times New Roman" w:hAnsi="Times New Roman" w:cs="Times New Roman"/>
                <w:i/>
                <w:iCs/>
                <w:sz w:val="20"/>
                <w:szCs w:val="20"/>
              </w:rPr>
            </w:pPr>
            <w:r w:rsidRPr="00591554">
              <w:rPr>
                <w:rFonts w:ascii="Times New Roman" w:hAnsi="Times New Roman" w:cs="Times New Roman"/>
                <w:i/>
                <w:iCs/>
                <w:sz w:val="20"/>
                <w:szCs w:val="20"/>
              </w:rPr>
              <w:t xml:space="preserve">NB : le pouvoir d’achat du revenu disponible brut désigne le reste à payer une fois les charges déduites  et le pouvoir d’achat par unité de consommation prend en compte la taille des ménages   </w:t>
            </w:r>
          </w:p>
          <w:p w14:paraId="62963CC8" w14:textId="77777777" w:rsidR="00591554" w:rsidRDefault="00591554" w:rsidP="00591554">
            <w:pPr>
              <w:jc w:val="both"/>
            </w:pPr>
          </w:p>
          <w:p w14:paraId="196F0000" w14:textId="38A6A829" w:rsidR="00AE3E4E" w:rsidRDefault="00AE3E4E" w:rsidP="00591554">
            <w:pPr>
              <w:jc w:val="both"/>
            </w:pPr>
            <w:r w:rsidRPr="00591554">
              <w:rPr>
                <w:rFonts w:ascii="Times New Roman" w:hAnsi="Times New Roman" w:cs="Times New Roman"/>
                <w:b/>
                <w:bCs/>
              </w:rPr>
              <w:t>Expliquez l’évolution du pouvoir d’achat en France entre 1960  et 2021</w:t>
            </w:r>
          </w:p>
        </w:tc>
      </w:tr>
    </w:tbl>
    <w:p w14:paraId="18E104ED" w14:textId="77777777" w:rsidR="00591554" w:rsidRDefault="00591554" w:rsidP="00591554">
      <w:pPr>
        <w:jc w:val="both"/>
        <w:sectPr w:rsidR="00591554" w:rsidSect="0083404E">
          <w:pgSz w:w="11906" w:h="16838"/>
          <w:pgMar w:top="1134" w:right="1134" w:bottom="1134" w:left="1134" w:header="709" w:footer="709" w:gutter="0"/>
          <w:cols w:space="708"/>
          <w:docGrid w:linePitch="360"/>
        </w:sectPr>
      </w:pPr>
    </w:p>
    <w:p w14:paraId="238E1FA3" w14:textId="344045C6" w:rsidR="00591554" w:rsidRPr="00C32CD3" w:rsidRDefault="00AE3E4E" w:rsidP="00591554">
      <w:pPr>
        <w:spacing w:before="120" w:after="120" w:line="240" w:lineRule="auto"/>
        <w:jc w:val="both"/>
        <w:rPr>
          <w:rFonts w:ascii="Arial" w:hAnsi="Arial" w:cs="Arial"/>
          <w:b/>
          <w:bCs/>
          <w:sz w:val="24"/>
          <w:szCs w:val="24"/>
        </w:rPr>
      </w:pPr>
      <w:r>
        <w:rPr>
          <w:noProof/>
        </w:rPr>
        <w:lastRenderedPageBreak/>
        <mc:AlternateContent>
          <mc:Choice Requires="wps">
            <w:drawing>
              <wp:anchor distT="0" distB="0" distL="114300" distR="114300" simplePos="0" relativeHeight="251663360" behindDoc="0" locked="0" layoutInCell="1" allowOverlap="1" wp14:anchorId="3A0AD33E" wp14:editId="7CFDEB7E">
                <wp:simplePos x="0" y="0"/>
                <wp:positionH relativeFrom="column">
                  <wp:posOffset>1905</wp:posOffset>
                </wp:positionH>
                <wp:positionV relativeFrom="paragraph">
                  <wp:posOffset>1905</wp:posOffset>
                </wp:positionV>
                <wp:extent cx="1828800" cy="1898650"/>
                <wp:effectExtent l="0" t="0" r="0" b="6350"/>
                <wp:wrapSquare wrapText="bothSides"/>
                <wp:docPr id="1030202510" name="Zone de texte 1"/>
                <wp:cNvGraphicFramePr/>
                <a:graphic xmlns:a="http://schemas.openxmlformats.org/drawingml/2006/main">
                  <a:graphicData uri="http://schemas.microsoft.com/office/word/2010/wordprocessingShape">
                    <wps:wsp>
                      <wps:cNvSpPr txBox="1"/>
                      <wps:spPr>
                        <a:xfrm>
                          <a:off x="0" y="0"/>
                          <a:ext cx="1828800" cy="1898650"/>
                        </a:xfrm>
                        <a:prstGeom prst="rect">
                          <a:avLst/>
                        </a:prstGeom>
                        <a:noFill/>
                        <a:ln>
                          <a:noFill/>
                        </a:ln>
                      </wps:spPr>
                      <wps:txbx>
                        <w:txbxContent>
                          <w:p w14:paraId="2823EC20" w14:textId="77777777" w:rsidR="00AE3E4E" w:rsidRPr="00AE3E4E" w:rsidRDefault="00AE3E4E" w:rsidP="00AE3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E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 de tableau : la composition du pouvoir d’achat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AD33E" id="_x0000_s1028" type="#_x0000_t202" style="position:absolute;left:0;text-align:left;margin-left:.15pt;margin-top:.15pt;width:2in;height:14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" filled="f" stroked="f">
                <v:textbox>
                  <w:txbxContent>
                    <w:p w14:paraId="2823EC20" w14:textId="77777777" w:rsidR="00AE3E4E" w:rsidRPr="00AE3E4E" w:rsidRDefault="00AE3E4E" w:rsidP="00AE3E4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3E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 de tableau : la composition du pouvoir d’achat</w:t>
                      </w:r>
                    </w:p>
                  </w:txbxContent>
                </v:textbox>
                <w10:wrap type="square"/>
              </v:shape>
            </w:pict>
          </mc:Fallback>
        </mc:AlternateContent>
      </w:r>
      <w:r w:rsidR="00591554" w:rsidRPr="00C32CD3">
        <w:rPr>
          <w:rFonts w:ascii="Arial" w:hAnsi="Arial" w:cs="Arial"/>
          <w:b/>
          <w:bCs/>
          <w:sz w:val="24"/>
          <w:szCs w:val="24"/>
          <w:u w:val="single"/>
        </w:rPr>
        <w:t>Annexe 2</w:t>
      </w:r>
      <w:r w:rsidR="00591554" w:rsidRPr="00C32CD3">
        <w:rPr>
          <w:rFonts w:ascii="Arial" w:hAnsi="Arial" w:cs="Arial"/>
          <w:b/>
          <w:bCs/>
          <w:sz w:val="24"/>
          <w:szCs w:val="24"/>
        </w:rPr>
        <w:t xml:space="preserve"> : évolution du revenu disponible brut et du pouvoir d’achat </w:t>
      </w:r>
    </w:p>
    <w:p w14:paraId="1E608449" w14:textId="77777777" w:rsidR="00591554" w:rsidRPr="00C32CD3" w:rsidRDefault="00591554" w:rsidP="00591554">
      <w:pPr>
        <w:spacing w:before="120" w:after="120" w:line="240" w:lineRule="auto"/>
        <w:jc w:val="center"/>
        <w:rPr>
          <w:rFonts w:ascii="Arial" w:hAnsi="Arial" w:cs="Arial"/>
          <w:i/>
          <w:iCs/>
          <w:sz w:val="24"/>
          <w:szCs w:val="24"/>
        </w:rPr>
      </w:pPr>
      <w:r w:rsidRPr="00C32CD3">
        <w:rPr>
          <w:rFonts w:ascii="Arial" w:hAnsi="Arial" w:cs="Arial"/>
          <w:i/>
          <w:iCs/>
          <w:sz w:val="24"/>
          <w:szCs w:val="24"/>
        </w:rPr>
        <w:t xml:space="preserve">Par rapport à l’année </w:t>
      </w:r>
      <w:r w:rsidRPr="00C32CD3">
        <w:rPr>
          <w:rFonts w:ascii="Arial" w:hAnsi="Arial" w:cs="Arial"/>
          <w:sz w:val="24"/>
          <w:szCs w:val="24"/>
        </w:rPr>
        <w:t>précédente</w:t>
      </w:r>
      <w:r w:rsidRPr="00C32CD3">
        <w:rPr>
          <w:rFonts w:ascii="Arial" w:hAnsi="Arial" w:cs="Arial"/>
          <w:b/>
          <w:bCs/>
          <w:i/>
          <w:iCs/>
          <w:sz w:val="24"/>
          <w:szCs w:val="24"/>
        </w:rPr>
        <w:t xml:space="preserve"> </w:t>
      </w:r>
      <w:r w:rsidRPr="00C32CD3">
        <w:rPr>
          <w:rFonts w:ascii="Arial" w:hAnsi="Arial" w:cs="Arial"/>
          <w:i/>
          <w:iCs/>
          <w:sz w:val="24"/>
          <w:szCs w:val="24"/>
        </w:rPr>
        <w:t>en %</w:t>
      </w:r>
    </w:p>
    <w:tbl>
      <w:tblPr>
        <w:tblStyle w:val="Grilledutableau"/>
        <w:tblW w:w="0" w:type="auto"/>
        <w:tblLook w:val="04A0" w:firstRow="1" w:lastRow="0" w:firstColumn="1" w:lastColumn="0" w:noHBand="0" w:noVBand="1"/>
      </w:tblPr>
      <w:tblGrid>
        <w:gridCol w:w="2918"/>
        <w:gridCol w:w="897"/>
        <w:gridCol w:w="1117"/>
        <w:gridCol w:w="1012"/>
        <w:gridCol w:w="906"/>
        <w:gridCol w:w="1095"/>
        <w:gridCol w:w="1095"/>
      </w:tblGrid>
      <w:tr w:rsidR="00591554" w:rsidRPr="00C32CD3" w14:paraId="5A2A48DF" w14:textId="77777777" w:rsidTr="00FF6D17">
        <w:tc>
          <w:tcPr>
            <w:tcW w:w="2918" w:type="dxa"/>
          </w:tcPr>
          <w:p w14:paraId="77BFB6B6"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Indicateur</w:t>
            </w:r>
          </w:p>
        </w:tc>
        <w:tc>
          <w:tcPr>
            <w:tcW w:w="897" w:type="dxa"/>
          </w:tcPr>
          <w:p w14:paraId="10D16E4A"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2016</w:t>
            </w:r>
          </w:p>
        </w:tc>
        <w:tc>
          <w:tcPr>
            <w:tcW w:w="1117" w:type="dxa"/>
          </w:tcPr>
          <w:p w14:paraId="4D80BE43"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2017</w:t>
            </w:r>
          </w:p>
        </w:tc>
        <w:tc>
          <w:tcPr>
            <w:tcW w:w="1012" w:type="dxa"/>
          </w:tcPr>
          <w:p w14:paraId="5F0FDEB7"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2018</w:t>
            </w:r>
          </w:p>
        </w:tc>
        <w:tc>
          <w:tcPr>
            <w:tcW w:w="906" w:type="dxa"/>
          </w:tcPr>
          <w:p w14:paraId="7EDFEC2B"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2019</w:t>
            </w:r>
          </w:p>
        </w:tc>
        <w:tc>
          <w:tcPr>
            <w:tcW w:w="1095" w:type="dxa"/>
          </w:tcPr>
          <w:p w14:paraId="6F7417B8"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2020</w:t>
            </w:r>
          </w:p>
        </w:tc>
        <w:tc>
          <w:tcPr>
            <w:tcW w:w="1095" w:type="dxa"/>
          </w:tcPr>
          <w:p w14:paraId="53BECF79" w14:textId="77777777" w:rsidR="00591554" w:rsidRPr="00C32CD3" w:rsidRDefault="00591554" w:rsidP="00FF6D17">
            <w:pPr>
              <w:spacing w:before="120" w:after="120"/>
              <w:jc w:val="center"/>
              <w:rPr>
                <w:rFonts w:ascii="Arial" w:hAnsi="Arial" w:cs="Arial"/>
                <w:b/>
                <w:bCs/>
                <w:sz w:val="24"/>
                <w:szCs w:val="24"/>
              </w:rPr>
            </w:pPr>
            <w:r w:rsidRPr="00C32CD3">
              <w:rPr>
                <w:rFonts w:ascii="Arial" w:hAnsi="Arial" w:cs="Arial"/>
                <w:b/>
                <w:bCs/>
                <w:sz w:val="24"/>
                <w:szCs w:val="24"/>
              </w:rPr>
              <w:t>2021</w:t>
            </w:r>
          </w:p>
        </w:tc>
      </w:tr>
      <w:tr w:rsidR="00591554" w:rsidRPr="00C32CD3" w14:paraId="5142B45D" w14:textId="77777777" w:rsidTr="00FF6D17">
        <w:tc>
          <w:tcPr>
            <w:tcW w:w="2918" w:type="dxa"/>
          </w:tcPr>
          <w:p w14:paraId="233A6CC7" w14:textId="77777777" w:rsidR="00591554" w:rsidRPr="00C32CD3" w:rsidRDefault="00591554" w:rsidP="00FF6D17">
            <w:pPr>
              <w:spacing w:before="120" w:after="120"/>
              <w:jc w:val="both"/>
              <w:rPr>
                <w:rFonts w:ascii="Arial" w:hAnsi="Arial" w:cs="Arial"/>
                <w:sz w:val="24"/>
                <w:szCs w:val="24"/>
              </w:rPr>
            </w:pPr>
            <w:r w:rsidRPr="00C32CD3">
              <w:rPr>
                <w:rFonts w:ascii="Arial" w:hAnsi="Arial" w:cs="Arial"/>
                <w:sz w:val="24"/>
                <w:szCs w:val="24"/>
              </w:rPr>
              <w:t>Revenu disponible brut</w:t>
            </w:r>
          </w:p>
        </w:tc>
        <w:tc>
          <w:tcPr>
            <w:tcW w:w="897" w:type="dxa"/>
          </w:tcPr>
          <w:p w14:paraId="136BD900"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1.8</w:t>
            </w:r>
          </w:p>
        </w:tc>
        <w:tc>
          <w:tcPr>
            <w:tcW w:w="1117" w:type="dxa"/>
          </w:tcPr>
          <w:p w14:paraId="2B708C26"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2.6</w:t>
            </w:r>
          </w:p>
        </w:tc>
        <w:tc>
          <w:tcPr>
            <w:tcW w:w="1012" w:type="dxa"/>
          </w:tcPr>
          <w:p w14:paraId="17BD5BA8"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3.1</w:t>
            </w:r>
          </w:p>
        </w:tc>
        <w:tc>
          <w:tcPr>
            <w:tcW w:w="906" w:type="dxa"/>
          </w:tcPr>
          <w:p w14:paraId="56720B4E"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3.4</w:t>
            </w:r>
          </w:p>
        </w:tc>
        <w:tc>
          <w:tcPr>
            <w:tcW w:w="1095" w:type="dxa"/>
          </w:tcPr>
          <w:p w14:paraId="70288FEA"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1.0</w:t>
            </w:r>
          </w:p>
        </w:tc>
        <w:tc>
          <w:tcPr>
            <w:tcW w:w="1095" w:type="dxa"/>
          </w:tcPr>
          <w:p w14:paraId="5F260961"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4.0</w:t>
            </w:r>
          </w:p>
        </w:tc>
      </w:tr>
      <w:tr w:rsidR="00591554" w:rsidRPr="00C32CD3" w14:paraId="19CB63A1" w14:textId="77777777" w:rsidTr="00FF6D17">
        <w:tc>
          <w:tcPr>
            <w:tcW w:w="2918" w:type="dxa"/>
          </w:tcPr>
          <w:p w14:paraId="070E43BB" w14:textId="77777777" w:rsidR="00591554" w:rsidRPr="00C32CD3" w:rsidRDefault="00591554" w:rsidP="00FF6D17">
            <w:pPr>
              <w:spacing w:before="120" w:after="120"/>
              <w:jc w:val="both"/>
              <w:rPr>
                <w:rFonts w:ascii="Arial" w:hAnsi="Arial" w:cs="Arial"/>
                <w:sz w:val="24"/>
                <w:szCs w:val="24"/>
              </w:rPr>
            </w:pPr>
            <w:r w:rsidRPr="00C32CD3">
              <w:rPr>
                <w:rFonts w:ascii="Arial" w:hAnsi="Arial" w:cs="Arial"/>
                <w:sz w:val="24"/>
                <w:szCs w:val="24"/>
              </w:rPr>
              <w:t xml:space="preserve">Indice du prix de la </w:t>
            </w:r>
            <w:r w:rsidRPr="00C32CD3">
              <w:rPr>
                <w:rFonts w:ascii="Arial" w:hAnsi="Arial" w:cs="Arial"/>
                <w:sz w:val="24"/>
                <w:szCs w:val="24"/>
                <w:u w:val="single"/>
              </w:rPr>
              <w:t>dépense de consommation finale des ménages</w:t>
            </w:r>
            <w:r w:rsidRPr="00C32CD3">
              <w:rPr>
                <w:rStyle w:val="Appelnotedebasdep"/>
                <w:rFonts w:ascii="Arial" w:hAnsi="Arial" w:cs="Arial"/>
                <w:sz w:val="24"/>
                <w:szCs w:val="24"/>
                <w:u w:val="single"/>
              </w:rPr>
              <w:footnoteReference w:id="1"/>
            </w:r>
          </w:p>
        </w:tc>
        <w:tc>
          <w:tcPr>
            <w:tcW w:w="897" w:type="dxa"/>
          </w:tcPr>
          <w:p w14:paraId="49491EA5"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0.2</w:t>
            </w:r>
          </w:p>
        </w:tc>
        <w:tc>
          <w:tcPr>
            <w:tcW w:w="1117" w:type="dxa"/>
          </w:tcPr>
          <w:p w14:paraId="1529853F"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0.8</w:t>
            </w:r>
          </w:p>
        </w:tc>
        <w:tc>
          <w:tcPr>
            <w:tcW w:w="1012" w:type="dxa"/>
          </w:tcPr>
          <w:p w14:paraId="74E98B8A"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1.7</w:t>
            </w:r>
          </w:p>
        </w:tc>
        <w:tc>
          <w:tcPr>
            <w:tcW w:w="906" w:type="dxa"/>
          </w:tcPr>
          <w:p w14:paraId="3E9B1C2D"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0.8</w:t>
            </w:r>
          </w:p>
        </w:tc>
        <w:tc>
          <w:tcPr>
            <w:tcW w:w="1095" w:type="dxa"/>
          </w:tcPr>
          <w:p w14:paraId="5F94CBAE"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0.6</w:t>
            </w:r>
          </w:p>
        </w:tc>
        <w:tc>
          <w:tcPr>
            <w:tcW w:w="1095" w:type="dxa"/>
          </w:tcPr>
          <w:p w14:paraId="6A56AA2D"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1.6</w:t>
            </w:r>
          </w:p>
        </w:tc>
      </w:tr>
      <w:tr w:rsidR="00591554" w:rsidRPr="00C32CD3" w14:paraId="63701723" w14:textId="77777777" w:rsidTr="00FF6D17">
        <w:tc>
          <w:tcPr>
            <w:tcW w:w="2918" w:type="dxa"/>
          </w:tcPr>
          <w:p w14:paraId="2AB9E4D1" w14:textId="77777777" w:rsidR="00591554" w:rsidRPr="00C32CD3" w:rsidRDefault="00591554" w:rsidP="00FF6D17">
            <w:pPr>
              <w:spacing w:before="120" w:after="120"/>
              <w:jc w:val="both"/>
              <w:rPr>
                <w:rFonts w:ascii="Arial" w:hAnsi="Arial" w:cs="Arial"/>
                <w:sz w:val="24"/>
                <w:szCs w:val="24"/>
              </w:rPr>
            </w:pPr>
            <w:r w:rsidRPr="00C32CD3">
              <w:rPr>
                <w:rFonts w:ascii="Arial" w:hAnsi="Arial" w:cs="Arial"/>
                <w:sz w:val="24"/>
                <w:szCs w:val="24"/>
              </w:rPr>
              <w:t>Pouvoir d’achat du revenu disponible brut des ménages</w:t>
            </w:r>
          </w:p>
        </w:tc>
        <w:tc>
          <w:tcPr>
            <w:tcW w:w="897" w:type="dxa"/>
          </w:tcPr>
          <w:p w14:paraId="388BEAC9"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1.6</w:t>
            </w:r>
          </w:p>
        </w:tc>
        <w:tc>
          <w:tcPr>
            <w:tcW w:w="1117" w:type="dxa"/>
          </w:tcPr>
          <w:p w14:paraId="6ABAF815"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1.7</w:t>
            </w:r>
          </w:p>
        </w:tc>
        <w:tc>
          <w:tcPr>
            <w:tcW w:w="1012" w:type="dxa"/>
          </w:tcPr>
          <w:p w14:paraId="21CC4062"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2.0</w:t>
            </w:r>
          </w:p>
        </w:tc>
        <w:tc>
          <w:tcPr>
            <w:tcW w:w="906" w:type="dxa"/>
          </w:tcPr>
          <w:p w14:paraId="33CEA1A8"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2.6</w:t>
            </w:r>
          </w:p>
        </w:tc>
        <w:tc>
          <w:tcPr>
            <w:tcW w:w="1095" w:type="dxa"/>
          </w:tcPr>
          <w:p w14:paraId="191C6A66"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0.4</w:t>
            </w:r>
          </w:p>
        </w:tc>
        <w:tc>
          <w:tcPr>
            <w:tcW w:w="1095" w:type="dxa"/>
          </w:tcPr>
          <w:p w14:paraId="722A7FA7" w14:textId="77777777" w:rsidR="00591554" w:rsidRPr="00C32CD3" w:rsidRDefault="00591554" w:rsidP="00FF6D17">
            <w:pPr>
              <w:spacing w:before="120" w:after="120"/>
              <w:jc w:val="center"/>
              <w:rPr>
                <w:rFonts w:ascii="Arial" w:hAnsi="Arial" w:cs="Arial"/>
                <w:sz w:val="24"/>
                <w:szCs w:val="24"/>
              </w:rPr>
            </w:pPr>
            <w:r w:rsidRPr="00C32CD3">
              <w:rPr>
                <w:rFonts w:ascii="Arial" w:hAnsi="Arial" w:cs="Arial"/>
                <w:sz w:val="24"/>
                <w:szCs w:val="24"/>
              </w:rPr>
              <w:t>2.3</w:t>
            </w:r>
          </w:p>
        </w:tc>
      </w:tr>
    </w:tbl>
    <w:p w14:paraId="5E348217" w14:textId="77777777" w:rsidR="00591554" w:rsidRPr="00062D86" w:rsidRDefault="00591554" w:rsidP="00591554">
      <w:pPr>
        <w:spacing w:before="120" w:after="120" w:line="240" w:lineRule="auto"/>
        <w:jc w:val="both"/>
        <w:rPr>
          <w:b/>
          <w:bCs/>
        </w:rPr>
      </w:pPr>
      <w:r w:rsidRPr="00062D86">
        <w:rPr>
          <w:b/>
          <w:bCs/>
        </w:rPr>
        <w:t>Lecture : en 202</w:t>
      </w:r>
      <w:r>
        <w:rPr>
          <w:b/>
          <w:bCs/>
        </w:rPr>
        <w:t>1</w:t>
      </w:r>
      <w:r w:rsidRPr="00062D86">
        <w:rPr>
          <w:b/>
          <w:bCs/>
        </w:rPr>
        <w:t xml:space="preserve">, le revenu disponible brut augmente de </w:t>
      </w:r>
      <w:r>
        <w:rPr>
          <w:b/>
          <w:bCs/>
        </w:rPr>
        <w:t>4</w:t>
      </w:r>
      <w:r w:rsidRPr="00062D86">
        <w:rPr>
          <w:b/>
          <w:bCs/>
        </w:rPr>
        <w:t xml:space="preserve"> %.</w:t>
      </w:r>
    </w:p>
    <w:p w14:paraId="1F6F872C" w14:textId="77777777" w:rsidR="00591554" w:rsidRPr="00C32CD3" w:rsidRDefault="00591554" w:rsidP="00591554">
      <w:pPr>
        <w:shd w:val="clear" w:color="auto" w:fill="F3F3F3"/>
        <w:spacing w:before="120" w:after="120" w:line="240" w:lineRule="auto"/>
        <w:jc w:val="right"/>
        <w:textAlignment w:val="baseline"/>
        <w:rPr>
          <w:rFonts w:ascii="Arial" w:eastAsia="Times New Roman" w:hAnsi="Arial" w:cs="Arial"/>
          <w:i/>
          <w:iCs/>
          <w:sz w:val="24"/>
          <w:szCs w:val="24"/>
          <w:lang w:eastAsia="fr-FR"/>
        </w:rPr>
      </w:pPr>
      <w:r w:rsidRPr="00C32CD3">
        <w:rPr>
          <w:rFonts w:ascii="Arial" w:eastAsia="Times New Roman" w:hAnsi="Arial" w:cs="Arial"/>
          <w:i/>
          <w:iCs/>
          <w:sz w:val="24"/>
          <w:szCs w:val="24"/>
          <w:bdr w:val="none" w:sz="0" w:space="0" w:color="auto" w:frame="1"/>
          <w:lang w:eastAsia="fr-FR"/>
        </w:rPr>
        <w:t>Source : Insee, </w:t>
      </w:r>
      <w:hyperlink r:id="rId9" w:history="1">
        <w:r w:rsidRPr="00C32CD3">
          <w:rPr>
            <w:rFonts w:ascii="Arial" w:eastAsia="Times New Roman" w:hAnsi="Arial" w:cs="Arial"/>
            <w:i/>
            <w:iCs/>
            <w:sz w:val="24"/>
            <w:szCs w:val="24"/>
            <w:bdr w:val="none" w:sz="0" w:space="0" w:color="auto" w:frame="1"/>
            <w:lang w:eastAsia="fr-FR"/>
          </w:rPr>
          <w:t>comptes nationaux annuels - base 2014.</w:t>
        </w:r>
      </w:hyperlink>
    </w:p>
    <w:p w14:paraId="159A475B" w14:textId="77777777" w:rsidR="00591554" w:rsidRDefault="00591554" w:rsidP="00591554">
      <w:pPr>
        <w:shd w:val="clear" w:color="auto" w:fill="FFFFFF"/>
        <w:spacing w:before="120" w:after="120" w:line="240" w:lineRule="auto"/>
        <w:jc w:val="both"/>
        <w:outlineLvl w:val="0"/>
        <w:rPr>
          <w:rFonts w:ascii="Arial" w:eastAsia="Times New Roman" w:hAnsi="Arial" w:cs="Arial"/>
          <w:b/>
          <w:bCs/>
          <w:color w:val="2A303B"/>
          <w:kern w:val="36"/>
          <w:sz w:val="24"/>
          <w:szCs w:val="24"/>
          <w:u w:val="single"/>
          <w:lang w:eastAsia="fr-FR"/>
        </w:rPr>
      </w:pPr>
    </w:p>
    <w:p w14:paraId="30AD45D5" w14:textId="77777777" w:rsidR="00AE3E4E" w:rsidRDefault="00AE3E4E" w:rsidP="00591554">
      <w:pPr>
        <w:shd w:val="clear" w:color="auto" w:fill="FFFFFF"/>
        <w:spacing w:before="120" w:after="120" w:line="240" w:lineRule="auto"/>
        <w:jc w:val="both"/>
        <w:outlineLvl w:val="0"/>
        <w:rPr>
          <w:rFonts w:ascii="Arial" w:eastAsia="Times New Roman" w:hAnsi="Arial" w:cs="Arial"/>
          <w:b/>
          <w:bCs/>
          <w:color w:val="2A303B"/>
          <w:kern w:val="36"/>
          <w:sz w:val="24"/>
          <w:szCs w:val="24"/>
          <w:u w:val="single"/>
          <w:lang w:eastAsia="fr-FR"/>
        </w:rPr>
      </w:pPr>
    </w:p>
    <w:p w14:paraId="39D3B816" w14:textId="047B0F66" w:rsidR="00806D97" w:rsidRPr="00EF2B34" w:rsidRDefault="00AE3E4E" w:rsidP="004F3716">
      <w:pPr>
        <w:shd w:val="clear" w:color="auto" w:fill="FFFFFF"/>
        <w:spacing w:before="120" w:after="120" w:line="240" w:lineRule="auto"/>
        <w:jc w:val="both"/>
        <w:outlineLvl w:val="0"/>
      </w:pPr>
      <w:r w:rsidRPr="00C351B2">
        <w:rPr>
          <w:rFonts w:ascii="Arial" w:hAnsi="Arial" w:cs="Arial"/>
          <w:b/>
          <w:bCs/>
          <w:sz w:val="24"/>
          <w:szCs w:val="24"/>
        </w:rPr>
        <w:t xml:space="preserve">Mettez en évidence le lien entre l’indice des prix, le revenu disponible et le pouvoir d’achat. </w:t>
      </w:r>
    </w:p>
    <w:sectPr w:rsidR="00806D97" w:rsidRPr="00EF2B34" w:rsidSect="00F507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332E" w14:textId="77777777" w:rsidR="001F1667" w:rsidRDefault="001F1667" w:rsidP="00591554">
      <w:pPr>
        <w:spacing w:after="0" w:line="240" w:lineRule="auto"/>
      </w:pPr>
      <w:r>
        <w:separator/>
      </w:r>
    </w:p>
  </w:endnote>
  <w:endnote w:type="continuationSeparator" w:id="0">
    <w:p w14:paraId="3CEA2924" w14:textId="77777777" w:rsidR="001F1667" w:rsidRDefault="001F1667" w:rsidP="0059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F131" w14:textId="6886691C" w:rsidR="0083404E" w:rsidRDefault="0083404E">
    <w:pPr>
      <w:pStyle w:val="Pieddepage"/>
    </w:pPr>
    <w:r>
      <w:t>CRCOM - Economie – Fiches méthodologiques – Savoir analyser un tableau ou un graphique – Renaud Lacroix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D92B" w14:textId="77777777" w:rsidR="001F1667" w:rsidRDefault="001F1667" w:rsidP="00591554">
      <w:pPr>
        <w:spacing w:after="0" w:line="240" w:lineRule="auto"/>
      </w:pPr>
      <w:r>
        <w:separator/>
      </w:r>
    </w:p>
  </w:footnote>
  <w:footnote w:type="continuationSeparator" w:id="0">
    <w:p w14:paraId="755C860A" w14:textId="77777777" w:rsidR="001F1667" w:rsidRDefault="001F1667" w:rsidP="00591554">
      <w:pPr>
        <w:spacing w:after="0" w:line="240" w:lineRule="auto"/>
      </w:pPr>
      <w:r>
        <w:continuationSeparator/>
      </w:r>
    </w:p>
  </w:footnote>
  <w:footnote w:id="1">
    <w:p w14:paraId="0D5934B7" w14:textId="77777777" w:rsidR="00591554" w:rsidRDefault="00591554" w:rsidP="00591554">
      <w:pPr>
        <w:pStyle w:val="NormalWeb"/>
        <w:shd w:val="clear" w:color="auto" w:fill="AAC7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ascii="inherit" w:hAnsi="inherit" w:cs="Courier New"/>
          <w:color w:val="0D3970"/>
          <w:sz w:val="18"/>
          <w:szCs w:val="18"/>
        </w:rPr>
      </w:pPr>
      <w:r>
        <w:rPr>
          <w:rStyle w:val="Appelnotedebasdep"/>
        </w:rPr>
        <w:footnoteRef/>
      </w:r>
      <w:r>
        <w:t xml:space="preserve"> </w:t>
      </w:r>
      <w:r w:rsidRPr="000804D4">
        <w:rPr>
          <w:rFonts w:asciiTheme="minorHAnsi" w:hAnsiTheme="minorHAnsi" w:cstheme="minorHAnsi"/>
          <w:sz w:val="18"/>
          <w:szCs w:val="18"/>
        </w:rPr>
        <w:t xml:space="preserve">La </w:t>
      </w:r>
      <w:r w:rsidRPr="000804D4">
        <w:rPr>
          <w:rFonts w:asciiTheme="minorHAnsi" w:hAnsiTheme="minorHAnsi" w:cstheme="minorHAnsi"/>
          <w:color w:val="0D3970"/>
          <w:sz w:val="18"/>
          <w:szCs w:val="18"/>
        </w:rPr>
        <w:t>dépense de consommation finale des ménages comprend les dépenses effectivement réalisées par les ménages résidents pour acquérir des biens et des services destinés à la satisfaction de leurs besoins. L’indice du prix de la dépense de consommation finale des ménages évalue l’évolution des prix correspondants aux dépenses des ménages</w:t>
      </w:r>
      <w:r>
        <w:rPr>
          <w:rFonts w:ascii="inherit" w:hAnsi="inherit" w:cs="Courier New"/>
          <w:color w:val="0D3970"/>
          <w:sz w:val="18"/>
          <w:szCs w:val="18"/>
        </w:rPr>
        <w:t xml:space="preserve">. </w:t>
      </w:r>
    </w:p>
    <w:p w14:paraId="3247FD37" w14:textId="77777777" w:rsidR="00591554" w:rsidRDefault="00591554" w:rsidP="0059155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B4"/>
    <w:rsid w:val="000524D1"/>
    <w:rsid w:val="001F1667"/>
    <w:rsid w:val="004B586B"/>
    <w:rsid w:val="004F3716"/>
    <w:rsid w:val="00591554"/>
    <w:rsid w:val="006A5756"/>
    <w:rsid w:val="00806D97"/>
    <w:rsid w:val="0083404E"/>
    <w:rsid w:val="008654B4"/>
    <w:rsid w:val="00961112"/>
    <w:rsid w:val="00A10D02"/>
    <w:rsid w:val="00A1449D"/>
    <w:rsid w:val="00AB2E00"/>
    <w:rsid w:val="00AE3E4E"/>
    <w:rsid w:val="00B84C9D"/>
    <w:rsid w:val="00BE11C4"/>
    <w:rsid w:val="00D4731A"/>
    <w:rsid w:val="00E31BE7"/>
    <w:rsid w:val="00ED4450"/>
    <w:rsid w:val="00EF2B34"/>
    <w:rsid w:val="00F507B9"/>
    <w:rsid w:val="00F75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7E35"/>
  <w15:chartTrackingRefBased/>
  <w15:docId w15:val="{00E852BA-F55D-42B4-934F-BC9DA06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4B4"/>
    <w:pPr>
      <w:ind w:left="720"/>
      <w:contextualSpacing/>
    </w:pPr>
  </w:style>
  <w:style w:type="table" w:styleId="Grilledutableau">
    <w:name w:val="Table Grid"/>
    <w:basedOn w:val="TableauNormal"/>
    <w:uiPriority w:val="39"/>
    <w:rsid w:val="004B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91554"/>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uiPriority w:val="99"/>
    <w:semiHidden/>
    <w:rsid w:val="00591554"/>
    <w:rPr>
      <w:kern w:val="0"/>
      <w:sz w:val="20"/>
      <w:szCs w:val="20"/>
      <w14:ligatures w14:val="none"/>
    </w:rPr>
  </w:style>
  <w:style w:type="character" w:styleId="Appelnotedebasdep">
    <w:name w:val="footnote reference"/>
    <w:basedOn w:val="Policepardfaut"/>
    <w:uiPriority w:val="99"/>
    <w:semiHidden/>
    <w:unhideWhenUsed/>
    <w:rsid w:val="00591554"/>
    <w:rPr>
      <w:vertAlign w:val="superscript"/>
    </w:rPr>
  </w:style>
  <w:style w:type="paragraph" w:styleId="NormalWeb">
    <w:name w:val="Normal (Web)"/>
    <w:basedOn w:val="Normal"/>
    <w:uiPriority w:val="99"/>
    <w:unhideWhenUsed/>
    <w:rsid w:val="0059155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Rvision">
    <w:name w:val="Revision"/>
    <w:hidden/>
    <w:uiPriority w:val="99"/>
    <w:semiHidden/>
    <w:rsid w:val="000524D1"/>
    <w:pPr>
      <w:spacing w:after="0" w:line="240" w:lineRule="auto"/>
    </w:pPr>
  </w:style>
  <w:style w:type="paragraph" w:styleId="En-tte">
    <w:name w:val="header"/>
    <w:basedOn w:val="Normal"/>
    <w:link w:val="En-tteCar"/>
    <w:uiPriority w:val="99"/>
    <w:unhideWhenUsed/>
    <w:rsid w:val="0083404E"/>
    <w:pPr>
      <w:tabs>
        <w:tab w:val="center" w:pos="4536"/>
        <w:tab w:val="right" w:pos="9072"/>
      </w:tabs>
      <w:spacing w:after="0" w:line="240" w:lineRule="auto"/>
    </w:pPr>
  </w:style>
  <w:style w:type="character" w:customStyle="1" w:styleId="En-tteCar">
    <w:name w:val="En-tête Car"/>
    <w:basedOn w:val="Policepardfaut"/>
    <w:link w:val="En-tte"/>
    <w:uiPriority w:val="99"/>
    <w:rsid w:val="0083404E"/>
  </w:style>
  <w:style w:type="paragraph" w:styleId="Pieddepage">
    <w:name w:val="footer"/>
    <w:basedOn w:val="Normal"/>
    <w:link w:val="PieddepageCar"/>
    <w:uiPriority w:val="99"/>
    <w:unhideWhenUsed/>
    <w:rsid w:val="008340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ee.fr/fr/metadonnees/source/serie/s10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71E0-5FD4-4517-8806-0F2F66A7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731</Words>
  <Characters>4022</Characters>
  <Application>Microsoft Office Word</Application>
  <DocSecurity>0</DocSecurity>
  <Lines>33</Lines>
  <Paragraphs>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Mettez en évidence le lien entre l’indice des prix, le revenu disponible et le p</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lacroix</dc:creator>
  <cp:keywords/>
  <dc:description/>
  <cp:lastModifiedBy>Amaya GERONIMI</cp:lastModifiedBy>
  <cp:revision>6</cp:revision>
  <dcterms:created xsi:type="dcterms:W3CDTF">2023-07-04T12:28:00Z</dcterms:created>
  <dcterms:modified xsi:type="dcterms:W3CDTF">2023-07-12T07:29:00Z</dcterms:modified>
</cp:coreProperties>
</file>