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39CC" w14:textId="6EF25707" w:rsidR="00907A47" w:rsidRPr="00907A47" w:rsidRDefault="00793949" w:rsidP="00381853">
      <w:pPr>
        <w:pStyle w:val="NormalWeb"/>
        <w:spacing w:after="198"/>
        <w:jc w:val="center"/>
        <w:rPr>
          <w:b/>
          <w:bCs/>
          <w:sz w:val="28"/>
        </w:rPr>
      </w:pPr>
      <w:r>
        <w:rPr>
          <w:b/>
          <w:bCs/>
          <w:sz w:val="28"/>
        </w:rPr>
        <w:t>Les</w:t>
      </w:r>
      <w:r w:rsidR="006B555D">
        <w:rPr>
          <w:b/>
          <w:bCs/>
          <w:sz w:val="28"/>
        </w:rPr>
        <w:t xml:space="preserve"> </w:t>
      </w:r>
      <w:r w:rsidR="00907A47" w:rsidRPr="00907A47">
        <w:rPr>
          <w:b/>
          <w:bCs/>
          <w:sz w:val="28"/>
        </w:rPr>
        <w:t>Graduate Program</w:t>
      </w:r>
      <w:r w:rsidR="00D67777">
        <w:rPr>
          <w:b/>
          <w:bCs/>
          <w:sz w:val="28"/>
        </w:rPr>
        <w:t>s</w:t>
      </w:r>
    </w:p>
    <w:p w14:paraId="167D3C68" w14:textId="28DC09DF" w:rsidR="00C93961" w:rsidRPr="00381853" w:rsidRDefault="008F3CDC" w:rsidP="001D4251">
      <w:pPr>
        <w:pStyle w:val="NormalWeb"/>
        <w:spacing w:after="198"/>
        <w:jc w:val="both"/>
        <w:rPr>
          <w:sz w:val="22"/>
        </w:rPr>
      </w:pPr>
      <w:r w:rsidRPr="00381853">
        <w:rPr>
          <w:sz w:val="22"/>
        </w:rPr>
        <w:t xml:space="preserve">Axa est un groupe international français spécialisé dans l'assurance et la gestion d'actifs. Axa fait partie des plus grandes sociétés d'assurance mondiales aux côtés de Ping </w:t>
      </w:r>
      <w:bookmarkStart w:id="0" w:name="_GoBack"/>
      <w:bookmarkEnd w:id="0"/>
      <w:r w:rsidRPr="00381853">
        <w:rPr>
          <w:sz w:val="22"/>
        </w:rPr>
        <w:t>An Insurance (Chine), China Life Insurance (Chine), Allianz (Allemagne). Le groupe est implanté dans plus de 6</w:t>
      </w:r>
      <w:r w:rsidR="00C93961" w:rsidRPr="00381853">
        <w:rPr>
          <w:sz w:val="22"/>
        </w:rPr>
        <w:t>4</w:t>
      </w:r>
      <w:r w:rsidRPr="00381853">
        <w:rPr>
          <w:sz w:val="22"/>
        </w:rPr>
        <w:t xml:space="preserve"> pays, et emploie </w:t>
      </w:r>
      <w:r w:rsidR="00C93961" w:rsidRPr="00381853">
        <w:rPr>
          <w:sz w:val="22"/>
        </w:rPr>
        <w:t xml:space="preserve">plus de </w:t>
      </w:r>
      <w:r w:rsidRPr="00381853">
        <w:rPr>
          <w:sz w:val="22"/>
        </w:rPr>
        <w:t>1</w:t>
      </w:r>
      <w:r w:rsidR="00C93961" w:rsidRPr="00381853">
        <w:rPr>
          <w:sz w:val="22"/>
        </w:rPr>
        <w:t>20</w:t>
      </w:r>
      <w:r w:rsidRPr="00381853">
        <w:rPr>
          <w:sz w:val="22"/>
        </w:rPr>
        <w:t xml:space="preserve"> 000 salariés dans le monde dont </w:t>
      </w:r>
      <w:r w:rsidR="00C93961" w:rsidRPr="00381853">
        <w:rPr>
          <w:sz w:val="22"/>
        </w:rPr>
        <w:t>16 000</w:t>
      </w:r>
      <w:r w:rsidRPr="00381853">
        <w:rPr>
          <w:sz w:val="22"/>
        </w:rPr>
        <w:t xml:space="preserve"> en </w:t>
      </w:r>
      <w:r w:rsidR="00C93961" w:rsidRPr="00381853">
        <w:rPr>
          <w:sz w:val="22"/>
        </w:rPr>
        <w:t xml:space="preserve">France. </w:t>
      </w:r>
    </w:p>
    <w:p w14:paraId="4B2443EC" w14:textId="399EC71F" w:rsidR="008F3CDC" w:rsidRPr="00381853" w:rsidRDefault="00C93961" w:rsidP="00B61928">
      <w:pPr>
        <w:pStyle w:val="NormalWeb"/>
        <w:spacing w:after="198"/>
        <w:jc w:val="both"/>
        <w:rPr>
          <w:sz w:val="22"/>
        </w:rPr>
      </w:pPr>
      <w:r w:rsidRPr="00381853">
        <w:rPr>
          <w:sz w:val="22"/>
        </w:rPr>
        <w:t xml:space="preserve">Le premier objectif </w:t>
      </w:r>
      <w:r w:rsidR="009A757D">
        <w:rPr>
          <w:sz w:val="22"/>
        </w:rPr>
        <w:t>as</w:t>
      </w:r>
      <w:r w:rsidRPr="00381853">
        <w:rPr>
          <w:sz w:val="22"/>
        </w:rPr>
        <w:t>signé aux équipes RH du groupe est d’attirer les bons talents, au bon endroit, au bon moment.</w:t>
      </w:r>
      <w:r w:rsidR="00E3768E" w:rsidRPr="00381853">
        <w:rPr>
          <w:sz w:val="22"/>
        </w:rPr>
        <w:t xml:space="preserve"> Le Graduate Program d’Axa a été conçu</w:t>
      </w:r>
      <w:r w:rsidR="001C184E">
        <w:rPr>
          <w:sz w:val="22"/>
        </w:rPr>
        <w:t xml:space="preserve"> par la Direction des RessourcesHumaines du groupe</w:t>
      </w:r>
      <w:r w:rsidR="00E3768E" w:rsidRPr="00381853">
        <w:rPr>
          <w:sz w:val="22"/>
        </w:rPr>
        <w:t xml:space="preserve"> pour attirer et préparer les jeunes talents du groupe à leurs futures fonctions de direction. Il offre aux jeunes diplômés talentueux l’opportunité d’accélérer leur développement </w:t>
      </w:r>
      <w:r w:rsidR="008F3CDC" w:rsidRPr="00381853">
        <w:rPr>
          <w:sz w:val="22"/>
        </w:rPr>
        <w:t xml:space="preserve">en les mettant au défi de devenir les dirigeants de demain. </w:t>
      </w:r>
      <w:r w:rsidR="00E3768E" w:rsidRPr="00381853">
        <w:rPr>
          <w:sz w:val="22"/>
        </w:rPr>
        <w:t xml:space="preserve">Chaque année, </w:t>
      </w:r>
      <w:r w:rsidR="008F3CDC" w:rsidRPr="00381853">
        <w:rPr>
          <w:sz w:val="22"/>
        </w:rPr>
        <w:t xml:space="preserve">AXA offre </w:t>
      </w:r>
      <w:r w:rsidR="00E3768E" w:rsidRPr="00381853">
        <w:rPr>
          <w:sz w:val="22"/>
        </w:rPr>
        <w:t xml:space="preserve">ainsi </w:t>
      </w:r>
      <w:r w:rsidR="008F3CDC" w:rsidRPr="00381853">
        <w:rPr>
          <w:sz w:val="22"/>
        </w:rPr>
        <w:t xml:space="preserve">à 130 </w:t>
      </w:r>
      <w:r w:rsidR="00907A47" w:rsidRPr="00381853">
        <w:rPr>
          <w:sz w:val="22"/>
        </w:rPr>
        <w:t>« </w:t>
      </w:r>
      <w:r w:rsidR="008F3CDC" w:rsidRPr="00381853">
        <w:rPr>
          <w:sz w:val="22"/>
        </w:rPr>
        <w:t>Graduates</w:t>
      </w:r>
      <w:r w:rsidR="00907A47" w:rsidRPr="00381853">
        <w:rPr>
          <w:sz w:val="22"/>
        </w:rPr>
        <w:t> »</w:t>
      </w:r>
      <w:r w:rsidR="008F3CDC" w:rsidRPr="00381853">
        <w:rPr>
          <w:sz w:val="22"/>
        </w:rPr>
        <w:t xml:space="preserve"> issus de 16 pays l’occasion de vivre des expériences stimulantes, y compris des perspectives de mobilité internationale.</w:t>
      </w:r>
    </w:p>
    <w:p w14:paraId="52759491" w14:textId="757C7223" w:rsidR="001D4251" w:rsidRPr="00381853" w:rsidRDefault="001D4251" w:rsidP="001D4251">
      <w:pPr>
        <w:pStyle w:val="NormalWeb"/>
        <w:spacing w:after="198"/>
        <w:jc w:val="both"/>
        <w:rPr>
          <w:sz w:val="22"/>
        </w:rPr>
      </w:pPr>
      <w:r w:rsidRPr="00381853">
        <w:rPr>
          <w:sz w:val="22"/>
        </w:rPr>
        <w:t xml:space="preserve">La démarche adoptée par Axa n’est pas unique en son genre. Les grands groupes sont aujourd’hui nombreux à élaborer et financer des graduate programs à destination des jeunes talents. </w:t>
      </w:r>
    </w:p>
    <w:p w14:paraId="052F2B74" w14:textId="629CA456" w:rsidR="001D4251" w:rsidRPr="001C184E" w:rsidRDefault="001D4251" w:rsidP="001D4251">
      <w:pPr>
        <w:pStyle w:val="NormalWeb"/>
        <w:spacing w:after="198"/>
        <w:jc w:val="both"/>
        <w:rPr>
          <w:b/>
          <w:sz w:val="22"/>
        </w:rPr>
      </w:pPr>
      <w:r w:rsidRPr="001C184E">
        <w:rPr>
          <w:b/>
          <w:sz w:val="22"/>
        </w:rPr>
        <w:t xml:space="preserve">À l’aide des annexes fournies, vous étudierez les objectifs poursuivis par le groupe AXA et d’autres grands groupes au travers de </w:t>
      </w:r>
      <w:r w:rsidR="000A5A82" w:rsidRPr="001C184E">
        <w:rPr>
          <w:b/>
          <w:sz w:val="22"/>
        </w:rPr>
        <w:t xml:space="preserve">leurs </w:t>
      </w:r>
      <w:r w:rsidRPr="001C184E">
        <w:rPr>
          <w:b/>
          <w:sz w:val="22"/>
        </w:rPr>
        <w:t>graduate program</w:t>
      </w:r>
      <w:r w:rsidR="000A5A82" w:rsidRPr="001C184E">
        <w:rPr>
          <w:b/>
          <w:sz w:val="22"/>
        </w:rPr>
        <w:t>s.</w:t>
      </w:r>
      <w:r w:rsidRPr="001C184E">
        <w:rPr>
          <w:b/>
          <w:sz w:val="22"/>
        </w:rPr>
        <w:t xml:space="preserve"> </w:t>
      </w:r>
    </w:p>
    <w:p w14:paraId="7E1EA9FB" w14:textId="70E999DC" w:rsidR="00892459" w:rsidRPr="00381853" w:rsidRDefault="006B555D" w:rsidP="00892459">
      <w:pPr>
        <w:pStyle w:val="NormalWeb"/>
        <w:spacing w:after="198"/>
        <w:rPr>
          <w:sz w:val="22"/>
        </w:rPr>
      </w:pPr>
      <w:r w:rsidRPr="00381853">
        <w:rPr>
          <w:b/>
          <w:bCs/>
          <w:sz w:val="22"/>
        </w:rPr>
        <w:t>Q</w:t>
      </w:r>
      <w:r w:rsidR="00892459" w:rsidRPr="00381853">
        <w:rPr>
          <w:b/>
          <w:bCs/>
          <w:sz w:val="22"/>
        </w:rPr>
        <w:t xml:space="preserve">uestionnement : </w:t>
      </w:r>
    </w:p>
    <w:p w14:paraId="796BEEC0" w14:textId="77777777" w:rsidR="00892459" w:rsidRPr="00381853" w:rsidRDefault="00892459" w:rsidP="00892459">
      <w:pPr>
        <w:pStyle w:val="NormalWeb"/>
        <w:spacing w:after="198"/>
        <w:rPr>
          <w:sz w:val="22"/>
        </w:rPr>
      </w:pPr>
      <w:r w:rsidRPr="00381853">
        <w:rPr>
          <w:sz w:val="22"/>
        </w:rPr>
        <w:t xml:space="preserve">À partir de l’annexe 1 : </w:t>
      </w:r>
    </w:p>
    <w:p w14:paraId="3CB34398" w14:textId="77777777" w:rsidR="00892459" w:rsidRPr="00381853" w:rsidRDefault="00892459" w:rsidP="00892459">
      <w:pPr>
        <w:pStyle w:val="NormalWeb"/>
        <w:numPr>
          <w:ilvl w:val="0"/>
          <w:numId w:val="1"/>
        </w:numPr>
        <w:spacing w:after="198"/>
        <w:rPr>
          <w:sz w:val="22"/>
        </w:rPr>
      </w:pPr>
      <w:r w:rsidRPr="00381853">
        <w:rPr>
          <w:sz w:val="22"/>
        </w:rPr>
        <w:t xml:space="preserve">Identifier les candidats cibles de cette plaquette d’information. </w:t>
      </w:r>
    </w:p>
    <w:p w14:paraId="44350432" w14:textId="77777777" w:rsidR="00892459" w:rsidRPr="00381853" w:rsidRDefault="00892459" w:rsidP="00892459">
      <w:pPr>
        <w:pStyle w:val="NormalWeb"/>
        <w:numPr>
          <w:ilvl w:val="0"/>
          <w:numId w:val="1"/>
        </w:numPr>
        <w:spacing w:after="198"/>
        <w:rPr>
          <w:sz w:val="22"/>
        </w:rPr>
      </w:pPr>
      <w:r w:rsidRPr="00381853">
        <w:rPr>
          <w:sz w:val="22"/>
        </w:rPr>
        <w:t xml:space="preserve">Apprécier la façon dont Axa se présente à ces futurs candidats. </w:t>
      </w:r>
    </w:p>
    <w:p w14:paraId="40EED42C" w14:textId="77777777" w:rsidR="00892459" w:rsidRDefault="00892459" w:rsidP="00892459">
      <w:pPr>
        <w:pStyle w:val="NormalWeb"/>
        <w:numPr>
          <w:ilvl w:val="0"/>
          <w:numId w:val="1"/>
        </w:numPr>
        <w:spacing w:after="198"/>
        <w:rPr>
          <w:sz w:val="22"/>
        </w:rPr>
      </w:pPr>
      <w:r w:rsidRPr="00381853">
        <w:rPr>
          <w:sz w:val="22"/>
        </w:rPr>
        <w:t xml:space="preserve">Repérer les éléments du parcours de formation proposé dans le cadre du Global Graduate Program. </w:t>
      </w:r>
    </w:p>
    <w:p w14:paraId="1EECF073" w14:textId="77777777" w:rsidR="00BC781D" w:rsidRDefault="00BC781D" w:rsidP="00BC781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BC781D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Préciser ce en quoi consiste le tutorat inversé (« reverse mentoring »).</w:t>
      </w:r>
    </w:p>
    <w:p w14:paraId="2C32B973" w14:textId="02D1326E" w:rsidR="00BC781D" w:rsidRDefault="00BC781D" w:rsidP="00BC781D">
      <w:pPr>
        <w:pStyle w:val="Paragraphedeliste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BC781D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 </w:t>
      </w:r>
    </w:p>
    <w:p w14:paraId="37DABE9C" w14:textId="3101406E" w:rsidR="00BC781D" w:rsidRPr="00BC781D" w:rsidRDefault="00BC781D" w:rsidP="00BC781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BC781D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Expliquez en quoi les éléments du parcours de formation proposé aux « graduates » diffèrent du parcours de formation habituellement suivi par les salariés. </w:t>
      </w:r>
    </w:p>
    <w:p w14:paraId="4BA98CBE" w14:textId="77777777" w:rsidR="00892459" w:rsidRPr="00381853" w:rsidRDefault="00892459" w:rsidP="00892459">
      <w:pPr>
        <w:pStyle w:val="NormalWeb"/>
        <w:numPr>
          <w:ilvl w:val="0"/>
          <w:numId w:val="1"/>
        </w:numPr>
        <w:spacing w:after="198"/>
        <w:rPr>
          <w:sz w:val="22"/>
        </w:rPr>
      </w:pPr>
      <w:r w:rsidRPr="00381853">
        <w:rPr>
          <w:sz w:val="22"/>
        </w:rPr>
        <w:t xml:space="preserve">Apprécier les engagements pris par le groupe en termes d’évolution de carrière pour ces jeunes candidats. </w:t>
      </w:r>
    </w:p>
    <w:p w14:paraId="2278F5BD" w14:textId="3F673527" w:rsidR="00892459" w:rsidRPr="00381853" w:rsidRDefault="00892459" w:rsidP="00892459">
      <w:pPr>
        <w:pStyle w:val="NormalWeb"/>
        <w:spacing w:after="198"/>
        <w:rPr>
          <w:sz w:val="22"/>
        </w:rPr>
      </w:pPr>
      <w:r w:rsidRPr="00381853">
        <w:rPr>
          <w:sz w:val="22"/>
        </w:rPr>
        <w:t xml:space="preserve">À partir des annexes </w:t>
      </w:r>
      <w:r w:rsidR="00C35986">
        <w:rPr>
          <w:sz w:val="22"/>
        </w:rPr>
        <w:t>3</w:t>
      </w:r>
      <w:r w:rsidRPr="00381853">
        <w:rPr>
          <w:sz w:val="22"/>
        </w:rPr>
        <w:t xml:space="preserve"> et </w:t>
      </w:r>
      <w:r w:rsidR="00C35986">
        <w:rPr>
          <w:sz w:val="22"/>
        </w:rPr>
        <w:t>4</w:t>
      </w:r>
      <w:r w:rsidRPr="00381853">
        <w:rPr>
          <w:sz w:val="22"/>
        </w:rPr>
        <w:t xml:space="preserve">, </w:t>
      </w:r>
    </w:p>
    <w:p w14:paraId="15780ABC" w14:textId="5427AFD0" w:rsidR="00892459" w:rsidRPr="00381853" w:rsidRDefault="00E63F15" w:rsidP="00E63F15">
      <w:pPr>
        <w:pStyle w:val="NormalWeb"/>
        <w:numPr>
          <w:ilvl w:val="0"/>
          <w:numId w:val="2"/>
        </w:numPr>
        <w:spacing w:after="198"/>
        <w:rPr>
          <w:sz w:val="22"/>
        </w:rPr>
      </w:pPr>
      <w:r w:rsidRPr="00E63F15">
        <w:rPr>
          <w:sz w:val="22"/>
        </w:rPr>
        <w:t>Relever les différentes expériences qu’a connues Cynthia pendant son parcours de graduate</w:t>
      </w:r>
      <w:r w:rsidR="00892459" w:rsidRPr="00381853">
        <w:rPr>
          <w:sz w:val="22"/>
        </w:rPr>
        <w:t>.</w:t>
      </w:r>
    </w:p>
    <w:p w14:paraId="3940952E" w14:textId="77777777" w:rsidR="00892459" w:rsidRPr="00381853" w:rsidRDefault="00892459" w:rsidP="00892459">
      <w:pPr>
        <w:pStyle w:val="NormalWeb"/>
        <w:numPr>
          <w:ilvl w:val="0"/>
          <w:numId w:val="2"/>
        </w:numPr>
        <w:spacing w:after="198"/>
        <w:rPr>
          <w:sz w:val="22"/>
        </w:rPr>
      </w:pPr>
      <w:r w:rsidRPr="00381853">
        <w:rPr>
          <w:sz w:val="22"/>
        </w:rPr>
        <w:t>Énumérer les facteurs de motivation cités par Gabriel.</w:t>
      </w:r>
    </w:p>
    <w:p w14:paraId="6E3998FB" w14:textId="3BCC6CA4" w:rsidR="00892459" w:rsidRPr="00381853" w:rsidRDefault="00260A50" w:rsidP="00892459">
      <w:pPr>
        <w:pStyle w:val="NormalWeb"/>
        <w:spacing w:after="240"/>
        <w:rPr>
          <w:sz w:val="22"/>
        </w:rPr>
      </w:pPr>
      <w:r w:rsidRPr="00381853">
        <w:rPr>
          <w:sz w:val="22"/>
        </w:rPr>
        <w:t>À partir de</w:t>
      </w:r>
      <w:r w:rsidR="000B6FD6" w:rsidRPr="00381853">
        <w:rPr>
          <w:sz w:val="22"/>
        </w:rPr>
        <w:t xml:space="preserve"> l’</w:t>
      </w:r>
      <w:r w:rsidRPr="00381853">
        <w:rPr>
          <w:sz w:val="22"/>
        </w:rPr>
        <w:t xml:space="preserve">annexe </w:t>
      </w:r>
      <w:r w:rsidR="00C35986">
        <w:rPr>
          <w:sz w:val="22"/>
        </w:rPr>
        <w:t>5</w:t>
      </w:r>
      <w:r w:rsidRPr="00381853">
        <w:rPr>
          <w:sz w:val="22"/>
        </w:rPr>
        <w:t xml:space="preserve">, </w:t>
      </w:r>
    </w:p>
    <w:p w14:paraId="61470095" w14:textId="565CAB22" w:rsidR="00793949" w:rsidRPr="00381853" w:rsidRDefault="00793949" w:rsidP="002D53F4">
      <w:pPr>
        <w:pStyle w:val="Paragraphedeliste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381853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Identifier les objectifs poursuivis par les grands groupes au travers des Graduate programs. </w:t>
      </w:r>
    </w:p>
    <w:p w14:paraId="1CB17E93" w14:textId="1FD32062" w:rsidR="006623D2" w:rsidRPr="00381853" w:rsidRDefault="006623D2" w:rsidP="002D53F4">
      <w:pPr>
        <w:pStyle w:val="Paragraphedeliste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381853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>Proposez une définition pour l’expression « Guerre des talents » ;</w:t>
      </w:r>
    </w:p>
    <w:p w14:paraId="75D24CF8" w14:textId="4D95B8C4" w:rsidR="006623D2" w:rsidRPr="00381853" w:rsidRDefault="006623D2" w:rsidP="006623D2">
      <w:pPr>
        <w:rPr>
          <w:rFonts w:ascii="Times New Roman" w:eastAsia="Times New Roman" w:hAnsi="Times New Roman" w:cs="Times New Roman"/>
          <w:color w:val="000000"/>
          <w:szCs w:val="24"/>
          <w:lang w:eastAsia="fr-FR"/>
        </w:rPr>
      </w:pPr>
      <w:r w:rsidRPr="00381853">
        <w:rPr>
          <w:rFonts w:ascii="Times New Roman" w:eastAsia="Times New Roman" w:hAnsi="Times New Roman" w:cs="Times New Roman"/>
          <w:color w:val="000000"/>
          <w:szCs w:val="24"/>
          <w:lang w:eastAsia="fr-FR"/>
        </w:rPr>
        <w:t xml:space="preserve">En vous appuyant à la fois sur vos connaissances en économie et sur votre cours de RHC,  </w:t>
      </w:r>
    </w:p>
    <w:p w14:paraId="4A8C5326" w14:textId="03DE16E4" w:rsidR="00260A50" w:rsidRPr="00381853" w:rsidRDefault="00793949" w:rsidP="00260A50">
      <w:pPr>
        <w:pStyle w:val="NormalWeb"/>
        <w:numPr>
          <w:ilvl w:val="0"/>
          <w:numId w:val="2"/>
        </w:numPr>
        <w:spacing w:after="240"/>
        <w:rPr>
          <w:sz w:val="22"/>
        </w:rPr>
      </w:pPr>
      <w:r w:rsidRPr="00381853">
        <w:rPr>
          <w:sz w:val="22"/>
        </w:rPr>
        <w:t xml:space="preserve">Expliquez le paradoxe </w:t>
      </w:r>
      <w:r w:rsidR="006623D2" w:rsidRPr="00381853">
        <w:rPr>
          <w:sz w:val="22"/>
        </w:rPr>
        <w:t xml:space="preserve">apparent entre la persistance d’un chômage élevé et les efforts déployés par les grands groupes pour attirer et fidéliser les jeunes salariés. </w:t>
      </w:r>
    </w:p>
    <w:p w14:paraId="32AECFEB" w14:textId="77777777" w:rsidR="00892459" w:rsidRPr="001D4251" w:rsidRDefault="00892459" w:rsidP="00892459">
      <w:pPr>
        <w:pStyle w:val="NormalWeb"/>
        <w:spacing w:after="198"/>
        <w:rPr>
          <w:b/>
        </w:rPr>
      </w:pPr>
      <w:r w:rsidRPr="001D4251">
        <w:rPr>
          <w:b/>
        </w:rPr>
        <w:lastRenderedPageBreak/>
        <w:t>Annexe 1 : Plaquette Axa Global Graduate Program</w:t>
      </w:r>
    </w:p>
    <w:p w14:paraId="018E00FC" w14:textId="3422E92E" w:rsidR="006623D2" w:rsidRDefault="00614163" w:rsidP="00892459">
      <w:pPr>
        <w:pStyle w:val="NormalWeb"/>
        <w:spacing w:after="198"/>
      </w:pPr>
      <w:hyperlink r:id="rId8" w:history="1">
        <w:r w:rsidR="006623D2" w:rsidRPr="006E663B">
          <w:rPr>
            <w:rStyle w:val="Lienhypertexte"/>
          </w:rPr>
          <w:t>https://cdn.axa.com/www-axa-com%2F2bbf87b2-55da-4f0a-9c89-2760ddf01446_axa_global_graduate_program_2016_brochure_fr.pdf</w:t>
        </w:r>
      </w:hyperlink>
    </w:p>
    <w:p w14:paraId="20AD86C3" w14:textId="3D396D16" w:rsidR="00BC781D" w:rsidRDefault="00BC781D" w:rsidP="00892459">
      <w:pPr>
        <w:pStyle w:val="NormalWeb"/>
        <w:spacing w:after="198"/>
        <w:rPr>
          <w:b/>
        </w:rPr>
      </w:pPr>
      <w:r>
        <w:rPr>
          <w:b/>
        </w:rPr>
        <w:t xml:space="preserve">Annexe 2 : </w:t>
      </w:r>
      <w:r w:rsidRPr="00BC781D">
        <w:rPr>
          <w:b/>
        </w:rPr>
        <w:t>« Reverse mentoring » : quand les jeunes apprennent aux dirigeants</w:t>
      </w:r>
    </w:p>
    <w:p w14:paraId="56F20471" w14:textId="37A75FE0" w:rsidR="00BC781D" w:rsidRPr="00BC781D" w:rsidRDefault="00614163" w:rsidP="00892459">
      <w:pPr>
        <w:pStyle w:val="NormalWeb"/>
        <w:spacing w:after="198"/>
      </w:pPr>
      <w:hyperlink r:id="rId9" w:history="1">
        <w:r w:rsidR="00BC781D" w:rsidRPr="00BC781D">
          <w:rPr>
            <w:rStyle w:val="Lienhypertexte"/>
          </w:rPr>
          <w:t>http://www.imaginetonfutur.com/reverse-mentoring-quand-les-jeunes-apprennent-aux-dirigeants.html</w:t>
        </w:r>
      </w:hyperlink>
    </w:p>
    <w:p w14:paraId="776B3239" w14:textId="5AF58343" w:rsidR="00892459" w:rsidRPr="001D4251" w:rsidRDefault="00892459" w:rsidP="00892459">
      <w:pPr>
        <w:pStyle w:val="NormalWeb"/>
        <w:spacing w:after="198"/>
        <w:rPr>
          <w:b/>
        </w:rPr>
      </w:pPr>
      <w:r w:rsidRPr="001D4251">
        <w:rPr>
          <w:b/>
        </w:rPr>
        <w:t xml:space="preserve">Annexe </w:t>
      </w:r>
      <w:r w:rsidR="00C35986">
        <w:rPr>
          <w:b/>
        </w:rPr>
        <w:t>3</w:t>
      </w:r>
      <w:r w:rsidRPr="001D4251">
        <w:rPr>
          <w:b/>
        </w:rPr>
        <w:t xml:space="preserve"> : Témoignage de Cynthia </w:t>
      </w:r>
    </w:p>
    <w:p w14:paraId="6672BC53" w14:textId="77777777" w:rsidR="00892459" w:rsidRDefault="00614163" w:rsidP="00892459">
      <w:pPr>
        <w:pStyle w:val="NormalWeb"/>
        <w:spacing w:after="198"/>
      </w:pPr>
      <w:hyperlink r:id="rId10" w:history="1">
        <w:r w:rsidR="00892459">
          <w:rPr>
            <w:rStyle w:val="Lienhypertexte"/>
          </w:rPr>
          <w:t>https://www.youtube.com/watch?v=29RWl0w0RAI</w:t>
        </w:r>
      </w:hyperlink>
    </w:p>
    <w:p w14:paraId="5AAFB3A9" w14:textId="41A62629" w:rsidR="00892459" w:rsidRPr="001D4251" w:rsidRDefault="001D4251" w:rsidP="00892459">
      <w:pPr>
        <w:pStyle w:val="NormalWeb"/>
        <w:spacing w:after="198"/>
        <w:rPr>
          <w:b/>
        </w:rPr>
      </w:pPr>
      <w:r>
        <w:rPr>
          <w:b/>
        </w:rPr>
        <w:t xml:space="preserve">Annexe </w:t>
      </w:r>
      <w:r w:rsidR="00C35986">
        <w:rPr>
          <w:b/>
        </w:rPr>
        <w:t>4</w:t>
      </w:r>
      <w:r>
        <w:rPr>
          <w:b/>
        </w:rPr>
        <w:t> : T</w:t>
      </w:r>
      <w:r w:rsidR="00892459" w:rsidRPr="001D4251">
        <w:rPr>
          <w:b/>
        </w:rPr>
        <w:t>émoignage de Gabriel</w:t>
      </w:r>
    </w:p>
    <w:p w14:paraId="218C4FBC" w14:textId="77777777" w:rsidR="00892459" w:rsidRDefault="00614163" w:rsidP="00892459">
      <w:pPr>
        <w:pStyle w:val="NormalWeb"/>
        <w:spacing w:after="198"/>
      </w:pPr>
      <w:hyperlink r:id="rId11" w:history="1">
        <w:r w:rsidR="00892459">
          <w:rPr>
            <w:rStyle w:val="Lienhypertexte"/>
          </w:rPr>
          <w:t>https://www.youtube.com/watch?v=YbvBHAL7Nd8</w:t>
        </w:r>
      </w:hyperlink>
    </w:p>
    <w:p w14:paraId="6B2FA9DB" w14:textId="7925FF48" w:rsidR="00892459" w:rsidRPr="001D4251" w:rsidRDefault="00793949" w:rsidP="001D4251">
      <w:pPr>
        <w:pStyle w:val="NormalWeb"/>
        <w:spacing w:after="240"/>
        <w:rPr>
          <w:b/>
        </w:rPr>
      </w:pPr>
      <w:r w:rsidRPr="001D4251">
        <w:rPr>
          <w:b/>
        </w:rPr>
        <w:t xml:space="preserve">Annexe </w:t>
      </w:r>
      <w:r w:rsidR="00C35986">
        <w:rPr>
          <w:b/>
        </w:rPr>
        <w:t>5</w:t>
      </w:r>
      <w:r w:rsidRPr="001D4251">
        <w:rPr>
          <w:b/>
        </w:rPr>
        <w:t> : Les graduate programs coûteux mais séduisants</w:t>
      </w:r>
    </w:p>
    <w:p w14:paraId="06B0DAE0" w14:textId="33A6599F" w:rsidR="00793949" w:rsidRDefault="00614163" w:rsidP="00892459">
      <w:pPr>
        <w:pStyle w:val="NormalWeb"/>
        <w:spacing w:after="240"/>
      </w:pPr>
      <w:hyperlink r:id="rId12" w:history="1">
        <w:r w:rsidR="00793949" w:rsidRPr="0086462D">
          <w:rPr>
            <w:rStyle w:val="Lienhypertexte"/>
          </w:rPr>
          <w:t>http://www.wk-rh.fr/actualites/detail/86136/les-graduate-programmes-couteux-mais-seduisants.html</w:t>
        </w:r>
      </w:hyperlink>
    </w:p>
    <w:p w14:paraId="6C66C9E7" w14:textId="238589CE" w:rsidR="00343D05" w:rsidRDefault="00343D05" w:rsidP="00343D05"/>
    <w:sectPr w:rsidR="00343D05" w:rsidSect="001D4251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0303" w14:textId="77777777" w:rsidR="00614163" w:rsidRDefault="00614163" w:rsidP="003B2951">
      <w:pPr>
        <w:spacing w:after="0" w:line="240" w:lineRule="auto"/>
      </w:pPr>
      <w:r>
        <w:separator/>
      </w:r>
    </w:p>
  </w:endnote>
  <w:endnote w:type="continuationSeparator" w:id="0">
    <w:p w14:paraId="52325A3F" w14:textId="77777777" w:rsidR="00614163" w:rsidRDefault="00614163" w:rsidP="003B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096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6839E7" w14:textId="6DA49950" w:rsidR="003B2951" w:rsidRDefault="003B295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7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7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B6A85" w14:textId="77777777" w:rsidR="003B2951" w:rsidRDefault="003B29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3401" w14:textId="77777777" w:rsidR="00614163" w:rsidRDefault="00614163" w:rsidP="003B2951">
      <w:pPr>
        <w:spacing w:after="0" w:line="240" w:lineRule="auto"/>
      </w:pPr>
      <w:r>
        <w:separator/>
      </w:r>
    </w:p>
  </w:footnote>
  <w:footnote w:type="continuationSeparator" w:id="0">
    <w:p w14:paraId="249A2C2B" w14:textId="77777777" w:rsidR="00614163" w:rsidRDefault="00614163" w:rsidP="003B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B37"/>
    <w:multiLevelType w:val="multilevel"/>
    <w:tmpl w:val="F53EF3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2B00"/>
    <w:multiLevelType w:val="hybridMultilevel"/>
    <w:tmpl w:val="DA48B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5AE"/>
    <w:multiLevelType w:val="multilevel"/>
    <w:tmpl w:val="7936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A84"/>
    <w:multiLevelType w:val="multilevel"/>
    <w:tmpl w:val="DE3AFF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9"/>
    <w:rsid w:val="000A43AC"/>
    <w:rsid w:val="000A5A82"/>
    <w:rsid w:val="000B6FD6"/>
    <w:rsid w:val="001C184E"/>
    <w:rsid w:val="001C5E2C"/>
    <w:rsid w:val="001C6155"/>
    <w:rsid w:val="001D4251"/>
    <w:rsid w:val="001E030B"/>
    <w:rsid w:val="00260A50"/>
    <w:rsid w:val="002A07FE"/>
    <w:rsid w:val="002D53F4"/>
    <w:rsid w:val="00343D05"/>
    <w:rsid w:val="00381853"/>
    <w:rsid w:val="003B2951"/>
    <w:rsid w:val="003C492A"/>
    <w:rsid w:val="003E6280"/>
    <w:rsid w:val="003E798F"/>
    <w:rsid w:val="004E0BE2"/>
    <w:rsid w:val="00547335"/>
    <w:rsid w:val="00614163"/>
    <w:rsid w:val="006623D2"/>
    <w:rsid w:val="006B442E"/>
    <w:rsid w:val="006B555D"/>
    <w:rsid w:val="00793949"/>
    <w:rsid w:val="008159B4"/>
    <w:rsid w:val="008773EF"/>
    <w:rsid w:val="008800D7"/>
    <w:rsid w:val="00892459"/>
    <w:rsid w:val="008E1D05"/>
    <w:rsid w:val="008F3CDC"/>
    <w:rsid w:val="00907A47"/>
    <w:rsid w:val="009A757D"/>
    <w:rsid w:val="00AB1DD9"/>
    <w:rsid w:val="00B43BEE"/>
    <w:rsid w:val="00B61928"/>
    <w:rsid w:val="00B70909"/>
    <w:rsid w:val="00B81248"/>
    <w:rsid w:val="00BB07F8"/>
    <w:rsid w:val="00BB6B9A"/>
    <w:rsid w:val="00BC781D"/>
    <w:rsid w:val="00C1180E"/>
    <w:rsid w:val="00C35986"/>
    <w:rsid w:val="00C93961"/>
    <w:rsid w:val="00CA112B"/>
    <w:rsid w:val="00D67777"/>
    <w:rsid w:val="00DA1E49"/>
    <w:rsid w:val="00E3768E"/>
    <w:rsid w:val="00E62407"/>
    <w:rsid w:val="00E63F15"/>
    <w:rsid w:val="00F13762"/>
    <w:rsid w:val="00F804B1"/>
    <w:rsid w:val="00F91AA3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D0BE"/>
  <w15:docId w15:val="{C8E6B06B-0670-4CEF-A685-2465AA4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24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45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04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4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4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4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4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4B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60A5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93949"/>
    <w:pPr>
      <w:ind w:left="720"/>
      <w:contextualSpacing/>
    </w:pPr>
  </w:style>
  <w:style w:type="paragraph" w:styleId="Sansinterligne">
    <w:name w:val="No Spacing"/>
    <w:uiPriority w:val="1"/>
    <w:qFormat/>
    <w:rsid w:val="00CA112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B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951"/>
  </w:style>
  <w:style w:type="paragraph" w:styleId="Pieddepage">
    <w:name w:val="footer"/>
    <w:basedOn w:val="Normal"/>
    <w:link w:val="PieddepageCar"/>
    <w:uiPriority w:val="99"/>
    <w:unhideWhenUsed/>
    <w:rsid w:val="003B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53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8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7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5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76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0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7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53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5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xa.com/www-axa-com%2F2bbf87b2-55da-4f0a-9c89-2760ddf01446_axa_global_graduate_program_2016_brochure_f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k-rh.fr/actualites/detail/86136/les-graduate-programmes-couteux-mais-seduisa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bvBHAL7Nd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9RWl0w0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inetonfutur.com/reverse-mentoring-quand-les-jeunes-apprennent-aux-dirigea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983-A876-4991-8ED6-6865B3A2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vere</dc:creator>
  <cp:lastModifiedBy>anne vere</cp:lastModifiedBy>
  <cp:revision>2</cp:revision>
  <dcterms:created xsi:type="dcterms:W3CDTF">2017-07-28T07:30:00Z</dcterms:created>
  <dcterms:modified xsi:type="dcterms:W3CDTF">2017-07-28T07:30:00Z</dcterms:modified>
</cp:coreProperties>
</file>