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3AD7E" w14:textId="77777777" w:rsidR="00D45524" w:rsidRPr="00DE5E04" w:rsidRDefault="00D45524" w:rsidP="00D45524">
      <w:pPr>
        <w:spacing w:after="80" w:line="240" w:lineRule="auto"/>
        <w:jc w:val="center"/>
        <w:rPr>
          <w:rFonts w:ascii="Arial" w:eastAsia="Times New Roman" w:hAnsi="Arial" w:cs="Arial"/>
          <w:sz w:val="40"/>
          <w:szCs w:val="40"/>
        </w:rPr>
      </w:pPr>
      <w:bookmarkStart w:id="0" w:name="_Hlk58570868"/>
      <w:r w:rsidRPr="00DE5E04">
        <w:rPr>
          <w:rFonts w:ascii="Arial" w:eastAsia="Times New Roman" w:hAnsi="Arial" w:cs="Arial"/>
          <w:sz w:val="40"/>
          <w:szCs w:val="40"/>
        </w:rPr>
        <w:t>BACCALAURÉAT TECHNOLOGIQUE</w:t>
      </w:r>
    </w:p>
    <w:p w14:paraId="2E238BB3" w14:textId="77777777" w:rsidR="00D45524" w:rsidRPr="00DE5E04" w:rsidRDefault="00D45524" w:rsidP="00D45524">
      <w:pPr>
        <w:spacing w:after="80" w:line="240" w:lineRule="auto"/>
        <w:jc w:val="center"/>
        <w:rPr>
          <w:rFonts w:ascii="Arial" w:eastAsia="Times New Roman" w:hAnsi="Arial" w:cs="Arial"/>
          <w:sz w:val="24"/>
          <w:szCs w:val="24"/>
        </w:rPr>
      </w:pPr>
    </w:p>
    <w:p w14:paraId="24B30C19" w14:textId="77777777" w:rsidR="00D45524" w:rsidRPr="00DE5E04" w:rsidRDefault="00D45524" w:rsidP="00D45524">
      <w:pPr>
        <w:spacing w:after="80" w:line="240" w:lineRule="auto"/>
        <w:jc w:val="center"/>
        <w:rPr>
          <w:rFonts w:ascii="Arial" w:eastAsia="Times New Roman" w:hAnsi="Arial" w:cs="Arial"/>
          <w:sz w:val="24"/>
          <w:szCs w:val="24"/>
        </w:rPr>
      </w:pPr>
      <w:r w:rsidRPr="00DE5E04">
        <w:rPr>
          <w:rFonts w:ascii="Arial" w:eastAsia="Times New Roman" w:hAnsi="Arial" w:cs="Arial"/>
          <w:sz w:val="24"/>
          <w:szCs w:val="24"/>
        </w:rPr>
        <w:t>ÉPREUVE D’ENSEIGNEMENT DE SPÉCIALITÉ</w:t>
      </w:r>
    </w:p>
    <w:p w14:paraId="03E3EC29" w14:textId="77777777" w:rsidR="00D45524" w:rsidRPr="00DE5E04" w:rsidRDefault="00D45524" w:rsidP="00D45524">
      <w:pPr>
        <w:spacing w:after="80" w:line="240" w:lineRule="auto"/>
        <w:jc w:val="center"/>
        <w:rPr>
          <w:rFonts w:ascii="Arial" w:eastAsia="Times New Roman" w:hAnsi="Arial" w:cs="Arial"/>
          <w:sz w:val="24"/>
          <w:szCs w:val="24"/>
        </w:rPr>
      </w:pPr>
    </w:p>
    <w:p w14:paraId="59E78289" w14:textId="77777777" w:rsidR="00D45524" w:rsidRPr="00DE5E04" w:rsidRDefault="00D45524" w:rsidP="00D45524">
      <w:pPr>
        <w:spacing w:after="80" w:line="240" w:lineRule="auto"/>
        <w:jc w:val="center"/>
        <w:rPr>
          <w:rFonts w:ascii="Arial" w:eastAsia="Times New Roman" w:hAnsi="Arial" w:cs="Arial"/>
          <w:b/>
          <w:bCs/>
          <w:sz w:val="28"/>
          <w:szCs w:val="28"/>
        </w:rPr>
      </w:pPr>
      <w:r w:rsidRPr="00DE5E04">
        <w:rPr>
          <w:rFonts w:ascii="Arial" w:eastAsia="Times New Roman" w:hAnsi="Arial" w:cs="Arial"/>
          <w:b/>
          <w:bCs/>
          <w:sz w:val="28"/>
          <w:szCs w:val="28"/>
        </w:rPr>
        <w:t>SESSION 2021</w:t>
      </w:r>
    </w:p>
    <w:p w14:paraId="2187B0F7" w14:textId="77777777" w:rsidR="00D45524" w:rsidRPr="00DE5E04" w:rsidRDefault="00D45524" w:rsidP="00D45524">
      <w:pPr>
        <w:spacing w:after="80" w:line="240" w:lineRule="auto"/>
        <w:jc w:val="center"/>
        <w:rPr>
          <w:rFonts w:ascii="Arial" w:eastAsia="Times New Roman" w:hAnsi="Arial" w:cs="Arial"/>
          <w:sz w:val="24"/>
          <w:szCs w:val="24"/>
        </w:rPr>
      </w:pPr>
    </w:p>
    <w:p w14:paraId="6D9CBC7C" w14:textId="77777777" w:rsidR="00D45524" w:rsidRPr="00DE5E04" w:rsidRDefault="00D45524" w:rsidP="00D45524">
      <w:pPr>
        <w:spacing w:after="80" w:line="240" w:lineRule="auto"/>
        <w:jc w:val="center"/>
        <w:rPr>
          <w:rFonts w:ascii="Arial" w:eastAsia="Times New Roman" w:hAnsi="Arial" w:cs="Arial"/>
          <w:sz w:val="24"/>
          <w:szCs w:val="24"/>
        </w:rPr>
      </w:pPr>
    </w:p>
    <w:p w14:paraId="30F7C933" w14:textId="77777777" w:rsidR="00D45524" w:rsidRPr="00DE5E04" w:rsidRDefault="00D45524" w:rsidP="00D45524">
      <w:pPr>
        <w:spacing w:after="80" w:line="240" w:lineRule="auto"/>
        <w:jc w:val="center"/>
        <w:rPr>
          <w:rFonts w:ascii="Arial" w:eastAsia="Times New Roman" w:hAnsi="Arial" w:cs="Arial"/>
          <w:b/>
          <w:bCs/>
          <w:sz w:val="40"/>
          <w:szCs w:val="40"/>
        </w:rPr>
      </w:pPr>
      <w:r w:rsidRPr="00DE5E04">
        <w:rPr>
          <w:rFonts w:ascii="Arial" w:eastAsia="Times New Roman" w:hAnsi="Arial" w:cs="Arial"/>
          <w:b/>
          <w:bCs/>
          <w:sz w:val="40"/>
          <w:szCs w:val="40"/>
        </w:rPr>
        <w:t>SCIENCES ET TECHNOLOGIES DU</w:t>
      </w:r>
      <w:r w:rsidRPr="00DE5E04">
        <w:rPr>
          <w:rFonts w:ascii="Arial" w:eastAsia="Times New Roman" w:hAnsi="Arial" w:cs="Arial"/>
          <w:b/>
          <w:bCs/>
          <w:sz w:val="40"/>
          <w:szCs w:val="40"/>
        </w:rPr>
        <w:br/>
        <w:t>MANAGEMENT ET DE LA GESTION</w:t>
      </w:r>
    </w:p>
    <w:p w14:paraId="2CEE6F96" w14:textId="77777777" w:rsidR="00D45524" w:rsidRPr="00DE5E04" w:rsidRDefault="00D45524" w:rsidP="00D45524">
      <w:pPr>
        <w:spacing w:after="80" w:line="240" w:lineRule="auto"/>
        <w:jc w:val="center"/>
        <w:rPr>
          <w:rFonts w:ascii="Arial" w:eastAsia="Times New Roman" w:hAnsi="Arial" w:cs="Arial"/>
          <w:b/>
          <w:bCs/>
          <w:sz w:val="36"/>
          <w:szCs w:val="36"/>
        </w:rPr>
      </w:pPr>
    </w:p>
    <w:p w14:paraId="523BA0F6" w14:textId="77777777" w:rsidR="00D45524" w:rsidRPr="00DE5E04" w:rsidRDefault="00D45524" w:rsidP="00D45524">
      <w:pPr>
        <w:pBdr>
          <w:top w:val="single" w:sz="4" w:space="1" w:color="auto"/>
          <w:left w:val="single" w:sz="4" w:space="4" w:color="auto"/>
          <w:bottom w:val="single" w:sz="4" w:space="1" w:color="auto"/>
          <w:right w:val="single" w:sz="4" w:space="4" w:color="auto"/>
        </w:pBdr>
        <w:spacing w:after="80" w:line="240" w:lineRule="auto"/>
        <w:ind w:left="1701" w:right="1701"/>
        <w:jc w:val="center"/>
        <w:rPr>
          <w:rFonts w:ascii="Arial" w:eastAsia="Times New Roman" w:hAnsi="Arial" w:cs="Arial"/>
          <w:b/>
          <w:bCs/>
          <w:sz w:val="36"/>
          <w:szCs w:val="36"/>
        </w:rPr>
      </w:pPr>
      <w:r w:rsidRPr="00DE5E04">
        <w:rPr>
          <w:rFonts w:ascii="Arial" w:eastAsia="Times New Roman" w:hAnsi="Arial" w:cs="Arial"/>
          <w:b/>
          <w:bCs/>
          <w:sz w:val="36"/>
          <w:szCs w:val="36"/>
        </w:rPr>
        <w:t>Droit et Économie</w:t>
      </w:r>
    </w:p>
    <w:p w14:paraId="549AE48B" w14:textId="77777777" w:rsidR="00D45524" w:rsidRPr="00DE5E04" w:rsidRDefault="00D45524" w:rsidP="00D45524">
      <w:pPr>
        <w:spacing w:after="80" w:line="240" w:lineRule="auto"/>
        <w:jc w:val="center"/>
        <w:rPr>
          <w:rFonts w:ascii="Arial" w:eastAsia="Times New Roman" w:hAnsi="Arial" w:cs="Arial"/>
          <w:b/>
          <w:sz w:val="30"/>
          <w:szCs w:val="30"/>
        </w:rPr>
      </w:pPr>
    </w:p>
    <w:p w14:paraId="553E86E8" w14:textId="77777777" w:rsidR="00D45524" w:rsidRPr="00DE5E04" w:rsidRDefault="00D45524" w:rsidP="00D45524">
      <w:pPr>
        <w:spacing w:after="80" w:line="240" w:lineRule="auto"/>
        <w:jc w:val="center"/>
        <w:rPr>
          <w:rFonts w:ascii="Arial" w:eastAsia="Times New Roman" w:hAnsi="Arial" w:cs="Arial"/>
          <w:sz w:val="24"/>
          <w:szCs w:val="24"/>
        </w:rPr>
      </w:pPr>
    </w:p>
    <w:p w14:paraId="5ACA4706" w14:textId="77777777" w:rsidR="00D45524" w:rsidRPr="00DE5E04" w:rsidRDefault="00D45524" w:rsidP="00D45524">
      <w:pPr>
        <w:spacing w:after="80" w:line="240" w:lineRule="auto"/>
        <w:jc w:val="center"/>
        <w:rPr>
          <w:rFonts w:ascii="Arial" w:eastAsia="Times New Roman" w:hAnsi="Arial" w:cs="Arial"/>
          <w:b/>
          <w:bCs/>
          <w:sz w:val="24"/>
          <w:szCs w:val="24"/>
        </w:rPr>
      </w:pPr>
      <w:r w:rsidRPr="00DE5E04">
        <w:rPr>
          <w:rFonts w:ascii="Arial" w:eastAsia="Times New Roman" w:hAnsi="Arial" w:cs="Arial"/>
          <w:sz w:val="24"/>
          <w:szCs w:val="24"/>
        </w:rPr>
        <w:t xml:space="preserve">Durée de l’épreuve : </w:t>
      </w:r>
      <w:r w:rsidRPr="00DE5E04">
        <w:rPr>
          <w:rFonts w:ascii="Arial" w:eastAsia="Times New Roman" w:hAnsi="Arial" w:cs="Arial"/>
          <w:b/>
          <w:bCs/>
          <w:sz w:val="24"/>
          <w:szCs w:val="24"/>
        </w:rPr>
        <w:t>4 heures</w:t>
      </w:r>
    </w:p>
    <w:p w14:paraId="1D139BBB" w14:textId="77777777" w:rsidR="00D45524" w:rsidRPr="00DE5E04" w:rsidRDefault="00D45524" w:rsidP="00D45524">
      <w:pPr>
        <w:spacing w:after="80" w:line="240" w:lineRule="auto"/>
        <w:jc w:val="center"/>
        <w:rPr>
          <w:rFonts w:ascii="Arial" w:eastAsia="Times New Roman" w:hAnsi="Arial" w:cs="Arial"/>
          <w:b/>
          <w:bCs/>
          <w:sz w:val="24"/>
          <w:szCs w:val="24"/>
        </w:rPr>
      </w:pPr>
      <w:r w:rsidRPr="00DE5E04">
        <w:rPr>
          <w:rFonts w:ascii="Arial" w:eastAsia="Times New Roman" w:hAnsi="Arial" w:cs="Arial"/>
          <w:bCs/>
          <w:sz w:val="24"/>
          <w:szCs w:val="24"/>
        </w:rPr>
        <w:t>Coefficient</w:t>
      </w:r>
      <w:r w:rsidRPr="00DE5E04">
        <w:rPr>
          <w:rFonts w:ascii="Arial" w:eastAsia="Times New Roman" w:hAnsi="Arial" w:cs="Arial"/>
          <w:b/>
          <w:bCs/>
          <w:sz w:val="24"/>
          <w:szCs w:val="24"/>
        </w:rPr>
        <w:t> : 16</w:t>
      </w:r>
    </w:p>
    <w:p w14:paraId="144A13A7" w14:textId="77777777" w:rsidR="00D45524" w:rsidRPr="00DE5E04" w:rsidRDefault="00D45524" w:rsidP="00D45524">
      <w:pPr>
        <w:spacing w:after="80" w:line="240" w:lineRule="auto"/>
        <w:jc w:val="center"/>
        <w:rPr>
          <w:rFonts w:ascii="Arial" w:eastAsia="Times New Roman" w:hAnsi="Arial" w:cs="Arial"/>
          <w:sz w:val="20"/>
          <w:szCs w:val="20"/>
        </w:rPr>
      </w:pPr>
    </w:p>
    <w:p w14:paraId="78E0A26A" w14:textId="77777777" w:rsidR="00D45524" w:rsidRPr="00DE5E04" w:rsidRDefault="00D45524" w:rsidP="00D45524">
      <w:pPr>
        <w:spacing w:after="80" w:line="240" w:lineRule="auto"/>
        <w:jc w:val="center"/>
        <w:rPr>
          <w:rFonts w:ascii="Arial" w:eastAsia="Times New Roman" w:hAnsi="Arial" w:cs="Arial"/>
          <w:b/>
          <w:sz w:val="20"/>
          <w:szCs w:val="20"/>
        </w:rPr>
      </w:pPr>
    </w:p>
    <w:p w14:paraId="5CC3B7EA" w14:textId="77777777" w:rsidR="00D45524" w:rsidRPr="00DE5E04" w:rsidRDefault="00D45524" w:rsidP="00D45524">
      <w:pPr>
        <w:spacing w:after="80" w:line="240" w:lineRule="auto"/>
        <w:jc w:val="center"/>
        <w:rPr>
          <w:rFonts w:ascii="Arial" w:eastAsia="Times New Roman" w:hAnsi="Arial" w:cs="Arial"/>
          <w:i/>
          <w:sz w:val="24"/>
          <w:szCs w:val="24"/>
          <w:lang w:val="hr-HR"/>
        </w:rPr>
      </w:pPr>
      <w:r w:rsidRPr="00DE5E04">
        <w:rPr>
          <w:rFonts w:ascii="Arial" w:eastAsia="Times New Roman" w:hAnsi="Arial" w:cs="Arial"/>
          <w:i/>
          <w:sz w:val="24"/>
          <w:szCs w:val="24"/>
          <w:lang w:val="hr-HR"/>
        </w:rPr>
        <w:t>L’usage de la calculatrice avec mode examen actif est autorisé.</w:t>
      </w:r>
    </w:p>
    <w:p w14:paraId="5B736C24" w14:textId="77777777" w:rsidR="00D45524" w:rsidRPr="00DE5E04" w:rsidRDefault="00D45524" w:rsidP="00D45524">
      <w:pPr>
        <w:spacing w:after="80" w:line="240" w:lineRule="auto"/>
        <w:jc w:val="center"/>
        <w:rPr>
          <w:rFonts w:ascii="Arial" w:eastAsia="Times New Roman" w:hAnsi="Arial" w:cs="Arial"/>
          <w:i/>
          <w:sz w:val="24"/>
          <w:szCs w:val="24"/>
          <w:lang w:val="hr-HR"/>
        </w:rPr>
      </w:pPr>
      <w:r w:rsidRPr="00DE5E04">
        <w:rPr>
          <w:rFonts w:ascii="Arial" w:eastAsia="Times New Roman" w:hAnsi="Arial" w:cs="Arial"/>
          <w:i/>
          <w:sz w:val="24"/>
          <w:szCs w:val="24"/>
          <w:lang w:val="hr-HR"/>
        </w:rPr>
        <w:t>L’usage de la calculatrice sans mémoire, « type collège » est autorisé.</w:t>
      </w:r>
    </w:p>
    <w:p w14:paraId="76087CA3" w14:textId="77777777" w:rsidR="00D45524" w:rsidRPr="00EE1EFD" w:rsidRDefault="00D45524" w:rsidP="00D45524">
      <w:pPr>
        <w:spacing w:after="80" w:line="240" w:lineRule="auto"/>
        <w:rPr>
          <w:rFonts w:ascii="Arial" w:eastAsia="Times New Roman" w:hAnsi="Arial" w:cs="Arial"/>
          <w:i/>
          <w:sz w:val="24"/>
          <w:szCs w:val="24"/>
          <w:lang w:val="hr-HR"/>
        </w:rPr>
      </w:pPr>
    </w:p>
    <w:p w14:paraId="3EA27812" w14:textId="77777777" w:rsidR="00D45524" w:rsidRPr="00DE5E04" w:rsidRDefault="00D45524" w:rsidP="00D45524">
      <w:pPr>
        <w:spacing w:after="80" w:line="240" w:lineRule="auto"/>
        <w:jc w:val="center"/>
        <w:rPr>
          <w:rFonts w:ascii="Arial" w:eastAsia="Times New Roman" w:hAnsi="Arial" w:cs="Arial"/>
          <w:sz w:val="24"/>
          <w:szCs w:val="24"/>
        </w:rPr>
      </w:pPr>
      <w:r w:rsidRPr="00DE5E04">
        <w:rPr>
          <w:rFonts w:ascii="Arial" w:eastAsia="Times New Roman" w:hAnsi="Arial" w:cs="Arial"/>
          <w:sz w:val="24"/>
          <w:szCs w:val="24"/>
        </w:rPr>
        <w:t>Dès que l’ensemble de ces sujets vous est remis, assurez-vous qu’il est complet.</w:t>
      </w:r>
    </w:p>
    <w:p w14:paraId="79E511F1" w14:textId="37D1C8D9" w:rsidR="00D45524" w:rsidRPr="00DE5E04" w:rsidRDefault="00D45524" w:rsidP="00D45524">
      <w:pPr>
        <w:spacing w:after="720" w:line="240" w:lineRule="auto"/>
        <w:jc w:val="center"/>
        <w:rPr>
          <w:rFonts w:ascii="Arial" w:eastAsia="Times New Roman" w:hAnsi="Arial" w:cs="Arial"/>
          <w:sz w:val="24"/>
          <w:szCs w:val="24"/>
        </w:rPr>
      </w:pPr>
      <w:r w:rsidRPr="00DE5E04">
        <w:rPr>
          <w:rFonts w:ascii="Arial" w:eastAsia="Times New Roman" w:hAnsi="Arial" w:cs="Arial"/>
          <w:sz w:val="24"/>
          <w:szCs w:val="24"/>
        </w:rPr>
        <w:t xml:space="preserve">Cet ensemble comporte </w:t>
      </w:r>
      <w:r w:rsidR="009E7303">
        <w:rPr>
          <w:rFonts w:ascii="Arial" w:eastAsia="Times New Roman" w:hAnsi="Arial" w:cs="Arial"/>
          <w:sz w:val="24"/>
          <w:szCs w:val="24"/>
        </w:rPr>
        <w:fldChar w:fldCharType="begin"/>
      </w:r>
      <w:r w:rsidR="009E7303">
        <w:rPr>
          <w:rFonts w:ascii="Arial" w:eastAsia="Times New Roman" w:hAnsi="Arial" w:cs="Arial"/>
          <w:sz w:val="24"/>
          <w:szCs w:val="24"/>
        </w:rPr>
        <w:instrText xml:space="preserve"> NUMPAGES  </w:instrText>
      </w:r>
      <w:r w:rsidR="009E7303">
        <w:rPr>
          <w:rFonts w:ascii="Arial" w:eastAsia="Times New Roman" w:hAnsi="Arial" w:cs="Arial"/>
          <w:sz w:val="24"/>
          <w:szCs w:val="24"/>
        </w:rPr>
        <w:fldChar w:fldCharType="separate"/>
      </w:r>
      <w:r w:rsidR="004D636A">
        <w:rPr>
          <w:rFonts w:ascii="Arial" w:eastAsia="Times New Roman" w:hAnsi="Arial" w:cs="Arial"/>
          <w:noProof/>
          <w:sz w:val="24"/>
          <w:szCs w:val="24"/>
        </w:rPr>
        <w:t>17</w:t>
      </w:r>
      <w:r w:rsidR="009E7303">
        <w:rPr>
          <w:rFonts w:ascii="Arial" w:eastAsia="Times New Roman" w:hAnsi="Arial" w:cs="Arial"/>
          <w:sz w:val="24"/>
          <w:szCs w:val="24"/>
        </w:rPr>
        <w:fldChar w:fldCharType="end"/>
      </w:r>
      <w:r>
        <w:rPr>
          <w:rFonts w:ascii="Arial" w:eastAsia="Times New Roman" w:hAnsi="Arial" w:cs="Arial"/>
          <w:sz w:val="24"/>
          <w:szCs w:val="24"/>
        </w:rPr>
        <w:t xml:space="preserve"> </w:t>
      </w:r>
      <w:r w:rsidRPr="00DE5E04">
        <w:rPr>
          <w:rFonts w:ascii="Arial" w:eastAsia="Times New Roman" w:hAnsi="Arial" w:cs="Arial"/>
          <w:sz w:val="24"/>
          <w:szCs w:val="24"/>
        </w:rPr>
        <w:t>pages numérotées de 1/</w:t>
      </w:r>
      <w:r w:rsidR="009E7303">
        <w:rPr>
          <w:rFonts w:ascii="Arial" w:eastAsia="Times New Roman" w:hAnsi="Arial" w:cs="Arial"/>
          <w:sz w:val="24"/>
          <w:szCs w:val="24"/>
        </w:rPr>
        <w:fldChar w:fldCharType="begin"/>
      </w:r>
      <w:r w:rsidR="009E7303">
        <w:rPr>
          <w:rFonts w:ascii="Arial" w:eastAsia="Times New Roman" w:hAnsi="Arial" w:cs="Arial"/>
          <w:sz w:val="24"/>
          <w:szCs w:val="24"/>
        </w:rPr>
        <w:instrText xml:space="preserve"> NUMPAGES  </w:instrText>
      </w:r>
      <w:r w:rsidR="009E7303">
        <w:rPr>
          <w:rFonts w:ascii="Arial" w:eastAsia="Times New Roman" w:hAnsi="Arial" w:cs="Arial"/>
          <w:sz w:val="24"/>
          <w:szCs w:val="24"/>
        </w:rPr>
        <w:fldChar w:fldCharType="separate"/>
      </w:r>
      <w:r w:rsidR="004D636A">
        <w:rPr>
          <w:rFonts w:ascii="Arial" w:eastAsia="Times New Roman" w:hAnsi="Arial" w:cs="Arial"/>
          <w:noProof/>
          <w:sz w:val="24"/>
          <w:szCs w:val="24"/>
        </w:rPr>
        <w:t>17</w:t>
      </w:r>
      <w:r w:rsidR="009E7303">
        <w:rPr>
          <w:rFonts w:ascii="Arial" w:eastAsia="Times New Roman" w:hAnsi="Arial" w:cs="Arial"/>
          <w:sz w:val="24"/>
          <w:szCs w:val="24"/>
        </w:rPr>
        <w:fldChar w:fldCharType="end"/>
      </w:r>
      <w:r>
        <w:rPr>
          <w:rFonts w:ascii="Arial" w:eastAsia="Times New Roman" w:hAnsi="Arial" w:cs="Arial"/>
          <w:sz w:val="24"/>
          <w:szCs w:val="24"/>
        </w:rPr>
        <w:t xml:space="preserve"> à </w:t>
      </w:r>
      <w:r w:rsidR="009E7303">
        <w:rPr>
          <w:rFonts w:ascii="Arial" w:eastAsia="Times New Roman" w:hAnsi="Arial" w:cs="Arial"/>
          <w:sz w:val="24"/>
          <w:szCs w:val="24"/>
        </w:rPr>
        <w:fldChar w:fldCharType="begin"/>
      </w:r>
      <w:r w:rsidR="009E7303">
        <w:rPr>
          <w:rFonts w:ascii="Arial" w:eastAsia="Times New Roman" w:hAnsi="Arial" w:cs="Arial"/>
          <w:sz w:val="24"/>
          <w:szCs w:val="24"/>
        </w:rPr>
        <w:instrText xml:space="preserve"> NUMPAGES  </w:instrText>
      </w:r>
      <w:r w:rsidR="009E7303">
        <w:rPr>
          <w:rFonts w:ascii="Arial" w:eastAsia="Times New Roman" w:hAnsi="Arial" w:cs="Arial"/>
          <w:sz w:val="24"/>
          <w:szCs w:val="24"/>
        </w:rPr>
        <w:fldChar w:fldCharType="separate"/>
      </w:r>
      <w:r w:rsidR="004D636A">
        <w:rPr>
          <w:rFonts w:ascii="Arial" w:eastAsia="Times New Roman" w:hAnsi="Arial" w:cs="Arial"/>
          <w:noProof/>
          <w:sz w:val="24"/>
          <w:szCs w:val="24"/>
        </w:rPr>
        <w:t>17</w:t>
      </w:r>
      <w:r w:rsidR="009E7303">
        <w:rPr>
          <w:rFonts w:ascii="Arial" w:eastAsia="Times New Roman" w:hAnsi="Arial" w:cs="Arial"/>
          <w:sz w:val="24"/>
          <w:szCs w:val="24"/>
        </w:rPr>
        <w:fldChar w:fldCharType="end"/>
      </w:r>
      <w:r w:rsidRPr="00DE5E04">
        <w:rPr>
          <w:rFonts w:ascii="Arial" w:eastAsia="Times New Roman" w:hAnsi="Arial" w:cs="Arial"/>
          <w:sz w:val="24"/>
          <w:szCs w:val="24"/>
        </w:rPr>
        <w:t>/</w:t>
      </w:r>
      <w:r w:rsidR="009E7303">
        <w:rPr>
          <w:rFonts w:ascii="Arial" w:eastAsia="Times New Roman" w:hAnsi="Arial" w:cs="Arial"/>
          <w:sz w:val="24"/>
          <w:szCs w:val="24"/>
        </w:rPr>
        <w:fldChar w:fldCharType="begin"/>
      </w:r>
      <w:r w:rsidR="009E7303">
        <w:rPr>
          <w:rFonts w:ascii="Arial" w:eastAsia="Times New Roman" w:hAnsi="Arial" w:cs="Arial"/>
          <w:sz w:val="24"/>
          <w:szCs w:val="24"/>
        </w:rPr>
        <w:instrText xml:space="preserve"> NUMPAGES  </w:instrText>
      </w:r>
      <w:r w:rsidR="009E7303">
        <w:rPr>
          <w:rFonts w:ascii="Arial" w:eastAsia="Times New Roman" w:hAnsi="Arial" w:cs="Arial"/>
          <w:sz w:val="24"/>
          <w:szCs w:val="24"/>
        </w:rPr>
        <w:fldChar w:fldCharType="separate"/>
      </w:r>
      <w:r w:rsidR="004D636A">
        <w:rPr>
          <w:rFonts w:ascii="Arial" w:eastAsia="Times New Roman" w:hAnsi="Arial" w:cs="Arial"/>
          <w:noProof/>
          <w:sz w:val="24"/>
          <w:szCs w:val="24"/>
        </w:rPr>
        <w:t>17</w:t>
      </w:r>
      <w:r w:rsidR="009E7303">
        <w:rPr>
          <w:rFonts w:ascii="Arial" w:eastAsia="Times New Roman" w:hAnsi="Arial" w:cs="Arial"/>
          <w:sz w:val="24"/>
          <w:szCs w:val="24"/>
        </w:rPr>
        <w:fldChar w:fldCharType="end"/>
      </w:r>
      <w:r w:rsidRPr="00DE5E04">
        <w:rPr>
          <w:rFonts w:ascii="Arial" w:eastAsia="Times New Roman" w:hAnsi="Arial" w:cs="Arial"/>
          <w:sz w:val="24"/>
          <w:szCs w:val="24"/>
        </w:rPr>
        <w:t>.</w:t>
      </w:r>
    </w:p>
    <w:p w14:paraId="63EE4EB9" w14:textId="77777777" w:rsidR="00D45524" w:rsidRPr="00DE5E04" w:rsidRDefault="00D45524" w:rsidP="00D45524">
      <w:pPr>
        <w:spacing w:after="0" w:line="240" w:lineRule="auto"/>
        <w:jc w:val="both"/>
        <w:rPr>
          <w:rFonts w:ascii="Arial" w:eastAsia="Times New Roman" w:hAnsi="Arial" w:cs="Arial"/>
          <w:b/>
          <w:sz w:val="24"/>
          <w:szCs w:val="24"/>
          <w:lang w:eastAsia="fr-FR"/>
        </w:rPr>
      </w:pPr>
      <w:r w:rsidRPr="00DE5E04">
        <w:rPr>
          <w:rFonts w:ascii="Arial" w:eastAsia="Times New Roman" w:hAnsi="Arial" w:cs="Arial"/>
          <w:b/>
          <w:sz w:val="24"/>
          <w:szCs w:val="24"/>
          <w:lang w:eastAsia="fr-FR"/>
        </w:rPr>
        <w:t xml:space="preserve">Le candidat traite au choix un sujet de la partie juridique, </w:t>
      </w:r>
      <w:r w:rsidRPr="00DE5E04">
        <w:rPr>
          <w:rFonts w:ascii="Arial" w:eastAsia="Times New Roman" w:hAnsi="Arial" w:cs="Arial"/>
          <w:b/>
          <w:sz w:val="24"/>
          <w:szCs w:val="24"/>
          <w:u w:val="single"/>
          <w:lang w:eastAsia="fr-FR"/>
        </w:rPr>
        <w:t>ET</w:t>
      </w:r>
      <w:r w:rsidRPr="00DE5E04">
        <w:rPr>
          <w:rFonts w:ascii="Arial" w:eastAsia="Times New Roman" w:hAnsi="Arial" w:cs="Arial"/>
          <w:b/>
          <w:sz w:val="24"/>
          <w:szCs w:val="24"/>
          <w:lang w:eastAsia="fr-FR"/>
        </w:rPr>
        <w:t xml:space="preserve"> au choix un sujet de la partie économique. </w:t>
      </w:r>
    </w:p>
    <w:p w14:paraId="484EF8EE" w14:textId="77777777" w:rsidR="00D45524" w:rsidRPr="00DE5E04" w:rsidRDefault="00D45524" w:rsidP="00D45524">
      <w:pPr>
        <w:spacing w:after="0" w:line="240" w:lineRule="auto"/>
        <w:jc w:val="both"/>
        <w:rPr>
          <w:rFonts w:ascii="Arial" w:eastAsia="Times New Roman" w:hAnsi="Arial" w:cs="Arial"/>
          <w:b/>
          <w:sz w:val="24"/>
          <w:szCs w:val="24"/>
          <w:lang w:eastAsia="fr-FR"/>
        </w:rPr>
      </w:pPr>
    </w:p>
    <w:p w14:paraId="18B0A79E" w14:textId="77777777" w:rsidR="00D45524" w:rsidRPr="00DE5E04" w:rsidRDefault="00D45524" w:rsidP="00D45524">
      <w:pPr>
        <w:spacing w:after="0" w:line="240" w:lineRule="auto"/>
        <w:jc w:val="both"/>
        <w:rPr>
          <w:rFonts w:ascii="Arial" w:eastAsia="Times New Roman" w:hAnsi="Arial" w:cs="Arial"/>
          <w:b/>
          <w:sz w:val="24"/>
          <w:szCs w:val="24"/>
          <w:lang w:eastAsia="fr-FR"/>
        </w:rPr>
      </w:pPr>
      <w:r w:rsidRPr="00DE5E04">
        <w:rPr>
          <w:rFonts w:ascii="Arial" w:eastAsia="Times New Roman" w:hAnsi="Arial" w:cs="Arial"/>
          <w:b/>
          <w:sz w:val="24"/>
          <w:szCs w:val="24"/>
          <w:lang w:eastAsia="fr-FR"/>
        </w:rPr>
        <w:t xml:space="preserve">Il précise sur la copie les numéros de sujets choisis pour chacune des parties. </w:t>
      </w:r>
    </w:p>
    <w:p w14:paraId="4C1B141E" w14:textId="77777777" w:rsidR="00D45524" w:rsidRPr="00DE5E04" w:rsidRDefault="00D45524" w:rsidP="00D45524">
      <w:pPr>
        <w:spacing w:after="600" w:line="240" w:lineRule="auto"/>
        <w:jc w:val="both"/>
        <w:rPr>
          <w:rFonts w:ascii="Arial" w:eastAsia="Times New Roman" w:hAnsi="Arial" w:cs="Arial"/>
          <w:b/>
          <w:sz w:val="24"/>
          <w:szCs w:val="24"/>
          <w:lang w:eastAsia="fr-FR"/>
        </w:rPr>
      </w:pPr>
    </w:p>
    <w:p w14:paraId="45DF93D2" w14:textId="77777777" w:rsidR="00D45524" w:rsidRPr="00DE5E04" w:rsidRDefault="00D45524" w:rsidP="00D45524">
      <w:pPr>
        <w:spacing w:after="240" w:line="240" w:lineRule="auto"/>
        <w:jc w:val="center"/>
        <w:rPr>
          <w:rFonts w:ascii="Arial" w:eastAsia="Times New Roman" w:hAnsi="Arial" w:cs="Arial"/>
          <w:b/>
          <w:bCs/>
          <w:sz w:val="24"/>
          <w:szCs w:val="24"/>
        </w:rPr>
      </w:pPr>
      <w:r w:rsidRPr="00DE5E04">
        <w:rPr>
          <w:rFonts w:ascii="Arial" w:eastAsia="Times New Roman" w:hAnsi="Arial" w:cs="Arial"/>
          <w:b/>
          <w:bCs/>
          <w:sz w:val="24"/>
          <w:szCs w:val="24"/>
        </w:rPr>
        <w:t>Répartition des points</w:t>
      </w:r>
    </w:p>
    <w:tbl>
      <w:tblPr>
        <w:tblStyle w:val="Grilledutableau"/>
        <w:tblW w:w="0" w:type="auto"/>
        <w:jc w:val="center"/>
        <w:tblLook w:val="04A0" w:firstRow="1" w:lastRow="0" w:firstColumn="1" w:lastColumn="0" w:noHBand="0" w:noVBand="1"/>
      </w:tblPr>
      <w:tblGrid>
        <w:gridCol w:w="4659"/>
        <w:gridCol w:w="1902"/>
      </w:tblGrid>
      <w:tr w:rsidR="00D45524" w:rsidRPr="00DE5E04" w14:paraId="694CAB29" w14:textId="77777777" w:rsidTr="009740D0">
        <w:trPr>
          <w:trHeight w:val="653"/>
          <w:jc w:val="center"/>
        </w:trPr>
        <w:tc>
          <w:tcPr>
            <w:tcW w:w="4659" w:type="dxa"/>
            <w:vAlign w:val="center"/>
          </w:tcPr>
          <w:p w14:paraId="2D36BFB9" w14:textId="77777777" w:rsidR="00D45524" w:rsidRPr="00DE5E04" w:rsidRDefault="00D45524" w:rsidP="009740D0">
            <w:pPr>
              <w:spacing w:after="80"/>
              <w:rPr>
                <w:rFonts w:ascii="Arial" w:eastAsia="Times New Roman" w:hAnsi="Arial" w:cs="Arial"/>
                <w:sz w:val="24"/>
                <w:szCs w:val="24"/>
              </w:rPr>
            </w:pPr>
            <w:r w:rsidRPr="00DE5E04">
              <w:rPr>
                <w:rFonts w:ascii="Arial" w:eastAsia="Times New Roman" w:hAnsi="Arial" w:cs="Arial"/>
                <w:b/>
                <w:bCs/>
                <w:sz w:val="24"/>
                <w:szCs w:val="24"/>
              </w:rPr>
              <w:t>Partie juridique</w:t>
            </w:r>
          </w:p>
        </w:tc>
        <w:tc>
          <w:tcPr>
            <w:tcW w:w="1902" w:type="dxa"/>
            <w:vAlign w:val="center"/>
          </w:tcPr>
          <w:p w14:paraId="2865ED48" w14:textId="77777777" w:rsidR="00D45524" w:rsidRPr="00DE5E04" w:rsidRDefault="00D45524" w:rsidP="009740D0">
            <w:pPr>
              <w:spacing w:after="80"/>
              <w:rPr>
                <w:rFonts w:ascii="Arial" w:eastAsia="Times New Roman" w:hAnsi="Arial" w:cs="Arial"/>
                <w:sz w:val="24"/>
                <w:szCs w:val="24"/>
              </w:rPr>
            </w:pPr>
            <w:r w:rsidRPr="00DE5E04">
              <w:rPr>
                <w:rFonts w:ascii="Arial" w:eastAsia="Times New Roman" w:hAnsi="Arial" w:cs="Arial"/>
                <w:sz w:val="24"/>
                <w:szCs w:val="24"/>
              </w:rPr>
              <w:t>10 points</w:t>
            </w:r>
          </w:p>
        </w:tc>
      </w:tr>
      <w:tr w:rsidR="00D45524" w:rsidRPr="00DE5E04" w14:paraId="018E9454" w14:textId="77777777" w:rsidTr="009740D0">
        <w:trPr>
          <w:trHeight w:val="653"/>
          <w:jc w:val="center"/>
        </w:trPr>
        <w:tc>
          <w:tcPr>
            <w:tcW w:w="4659" w:type="dxa"/>
            <w:vAlign w:val="center"/>
          </w:tcPr>
          <w:p w14:paraId="3D4F3317" w14:textId="77777777" w:rsidR="00D45524" w:rsidRPr="00DE5E04" w:rsidRDefault="00D45524" w:rsidP="009740D0">
            <w:pPr>
              <w:spacing w:before="100" w:beforeAutospacing="1" w:after="90"/>
              <w:rPr>
                <w:rFonts w:ascii="Arial" w:eastAsia="Times New Roman" w:hAnsi="Arial" w:cs="Arial"/>
                <w:color w:val="000000"/>
                <w:sz w:val="24"/>
                <w:szCs w:val="24"/>
                <w:lang w:eastAsia="fr-FR"/>
              </w:rPr>
            </w:pPr>
            <w:r w:rsidRPr="00DE5E04">
              <w:rPr>
                <w:rFonts w:ascii="Arial" w:eastAsia="Times New Roman" w:hAnsi="Arial" w:cs="Arial"/>
                <w:b/>
                <w:bCs/>
                <w:sz w:val="24"/>
                <w:szCs w:val="24"/>
              </w:rPr>
              <w:t>Partie économique</w:t>
            </w:r>
          </w:p>
        </w:tc>
        <w:tc>
          <w:tcPr>
            <w:tcW w:w="1902" w:type="dxa"/>
            <w:vAlign w:val="center"/>
          </w:tcPr>
          <w:p w14:paraId="2267C21D" w14:textId="77777777" w:rsidR="00D45524" w:rsidRPr="00DE5E04" w:rsidRDefault="00D45524" w:rsidP="009740D0">
            <w:pPr>
              <w:spacing w:after="80"/>
              <w:rPr>
                <w:rFonts w:ascii="Arial" w:eastAsia="Times New Roman" w:hAnsi="Arial" w:cs="Arial"/>
                <w:sz w:val="24"/>
                <w:szCs w:val="24"/>
              </w:rPr>
            </w:pPr>
            <w:r w:rsidRPr="00DE5E04">
              <w:rPr>
                <w:rFonts w:ascii="Arial" w:eastAsia="Times New Roman" w:hAnsi="Arial" w:cs="Arial"/>
                <w:sz w:val="24"/>
                <w:szCs w:val="24"/>
              </w:rPr>
              <w:t>10 points</w:t>
            </w:r>
          </w:p>
        </w:tc>
      </w:tr>
    </w:tbl>
    <w:p w14:paraId="55DCFA0F" w14:textId="77777777" w:rsidR="00D45524" w:rsidRPr="00DE5E04" w:rsidRDefault="00D45524" w:rsidP="00D45524">
      <w:pPr>
        <w:spacing w:after="0" w:line="240" w:lineRule="auto"/>
        <w:jc w:val="center"/>
        <w:rPr>
          <w:rFonts w:ascii="Arial" w:eastAsia="Times New Roman" w:hAnsi="Arial" w:cs="Arial"/>
          <w:sz w:val="24"/>
          <w:szCs w:val="24"/>
        </w:rPr>
      </w:pPr>
      <w:r w:rsidRPr="00DE5E04">
        <w:rPr>
          <w:rFonts w:ascii="Arial" w:eastAsia="Times New Roman" w:hAnsi="Arial" w:cs="Arial"/>
          <w:sz w:val="24"/>
          <w:szCs w:val="24"/>
        </w:rPr>
        <w:br w:type="page"/>
      </w:r>
      <w:bookmarkStart w:id="1" w:name="_Hlk58570912"/>
      <w:bookmarkEnd w:id="0"/>
    </w:p>
    <w:p w14:paraId="1971FD5A" w14:textId="77777777" w:rsidR="00D45524" w:rsidRPr="00DE5E04" w:rsidRDefault="00D45524" w:rsidP="00D45524">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sz w:val="16"/>
          <w:szCs w:val="24"/>
          <w:u w:val="single"/>
        </w:rPr>
      </w:pPr>
      <w:bookmarkStart w:id="2" w:name="_Hlk58850580"/>
      <w:bookmarkEnd w:id="1"/>
    </w:p>
    <w:p w14:paraId="451113DA" w14:textId="77777777" w:rsidR="00D45524" w:rsidRPr="00DE5E04" w:rsidRDefault="00D45524" w:rsidP="00D45524">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sz w:val="24"/>
          <w:szCs w:val="24"/>
          <w:u w:val="single"/>
        </w:rPr>
      </w:pPr>
      <w:bookmarkStart w:id="3" w:name="_Hlk58849434"/>
      <w:r w:rsidRPr="00DE5E04">
        <w:rPr>
          <w:rFonts w:ascii="Arial" w:eastAsia="Times New Roman" w:hAnsi="Arial" w:cs="Arial"/>
          <w:b/>
          <w:sz w:val="24"/>
          <w:szCs w:val="24"/>
          <w:u w:val="single"/>
        </w:rPr>
        <w:t>PARTIE JURIDIQUE</w:t>
      </w:r>
    </w:p>
    <w:p w14:paraId="3B3367D7" w14:textId="77777777" w:rsidR="00D45524" w:rsidRPr="00DE5E04" w:rsidRDefault="00D45524" w:rsidP="00D45524">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sz w:val="10"/>
          <w:szCs w:val="24"/>
          <w:u w:val="single"/>
        </w:rPr>
      </w:pPr>
    </w:p>
    <w:p w14:paraId="3E236E2F" w14:textId="77777777" w:rsidR="00D45524" w:rsidRPr="00DE5E04" w:rsidRDefault="00D45524" w:rsidP="00D45524">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sz w:val="24"/>
          <w:szCs w:val="24"/>
        </w:rPr>
      </w:pPr>
      <w:r w:rsidRPr="00DE5E04">
        <w:rPr>
          <w:rFonts w:ascii="Arial" w:eastAsia="Times New Roman" w:hAnsi="Arial" w:cs="Arial"/>
          <w:b/>
          <w:sz w:val="24"/>
          <w:szCs w:val="24"/>
        </w:rPr>
        <w:t>Le candidat traite l’un des 2 sujets proposés parmi le sujet 1 et le sujet 2.</w:t>
      </w:r>
    </w:p>
    <w:bookmarkEnd w:id="2"/>
    <w:bookmarkEnd w:id="3"/>
    <w:p w14:paraId="7046DB0F" w14:textId="77777777" w:rsidR="00D45524" w:rsidRPr="00DE5E04" w:rsidRDefault="00D45524" w:rsidP="00D4552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16"/>
          <w:szCs w:val="10"/>
        </w:rPr>
      </w:pPr>
    </w:p>
    <w:p w14:paraId="694ED46B" w14:textId="77777777" w:rsidR="00D45524" w:rsidRPr="00DE5E04" w:rsidRDefault="00D45524" w:rsidP="00D45524">
      <w:pPr>
        <w:rPr>
          <w:rFonts w:ascii="Arial" w:hAnsi="Arial" w:cs="Arial"/>
        </w:rPr>
      </w:pPr>
    </w:p>
    <w:p w14:paraId="10380463" w14:textId="77777777" w:rsidR="00D45524" w:rsidRDefault="00D45524" w:rsidP="00D45524">
      <w:pPr>
        <w:rPr>
          <w:rFonts w:ascii="Arial" w:hAnsi="Arial" w:cs="Arial"/>
          <w:b/>
          <w:sz w:val="28"/>
        </w:rPr>
      </w:pPr>
      <w:r w:rsidRPr="00EF6D68">
        <w:rPr>
          <w:rFonts w:ascii="Arial" w:hAnsi="Arial" w:cs="Arial"/>
          <w:b/>
          <w:sz w:val="28"/>
        </w:rPr>
        <w:t xml:space="preserve">SUJET 1 </w:t>
      </w:r>
    </w:p>
    <w:p w14:paraId="500CF293"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Arial" w:hAnsi="Arial" w:cs="Arial"/>
          <w:b/>
          <w:bCs/>
          <w:sz w:val="24"/>
          <w:szCs w:val="24"/>
          <w:lang w:eastAsia="fr-FR" w:bidi="fr-FR"/>
        </w:rPr>
      </w:pPr>
      <w:r w:rsidRPr="00D45524">
        <w:rPr>
          <w:rFonts w:ascii="Arial" w:eastAsia="Arial" w:hAnsi="Arial" w:cs="Arial"/>
          <w:b/>
          <w:bCs/>
          <w:sz w:val="24"/>
          <w:szCs w:val="24"/>
          <w:lang w:eastAsia="fr-FR" w:bidi="fr-FR"/>
        </w:rPr>
        <w:t xml:space="preserve">À l’aide de vos connaissances et des ressources documentaires jointes en annexes numérotées de 1 à </w:t>
      </w:r>
      <w:r w:rsidRPr="00D45524">
        <w:rPr>
          <w:rFonts w:ascii="Arial" w:eastAsia="Arial" w:hAnsi="Arial" w:cs="Arial"/>
          <w:b/>
          <w:bCs/>
          <w:lang w:eastAsia="fr-FR" w:bidi="fr-FR"/>
        </w:rPr>
        <w:t>4</w:t>
      </w:r>
      <w:r w:rsidRPr="00D45524">
        <w:rPr>
          <w:rFonts w:ascii="Arial" w:eastAsia="Arial" w:hAnsi="Arial" w:cs="Arial"/>
          <w:b/>
          <w:bCs/>
          <w:sz w:val="24"/>
          <w:szCs w:val="24"/>
          <w:lang w:eastAsia="fr-FR" w:bidi="fr-FR"/>
        </w:rPr>
        <w:t>, analysez la situation juridique ci-dessous et répondez aux questions posées.</w:t>
      </w:r>
    </w:p>
    <w:p w14:paraId="1BC2DC7A"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Arial" w:eastAsia="Calibri" w:hAnsi="Arial" w:cs="Arial"/>
          <w:b/>
          <w:bCs/>
          <w:sz w:val="24"/>
          <w:szCs w:val="24"/>
        </w:rPr>
      </w:pPr>
    </w:p>
    <w:p w14:paraId="1D90FD74"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Arial" w:eastAsia="Calibri" w:hAnsi="Arial" w:cs="Arial"/>
          <w:b/>
          <w:bCs/>
          <w:sz w:val="24"/>
          <w:szCs w:val="24"/>
        </w:rPr>
      </w:pPr>
      <w:r w:rsidRPr="00D45524">
        <w:rPr>
          <w:rFonts w:ascii="Arial" w:eastAsia="Calibri" w:hAnsi="Arial" w:cs="Arial"/>
          <w:b/>
          <w:bCs/>
          <w:sz w:val="24"/>
          <w:szCs w:val="24"/>
        </w:rPr>
        <w:t>Situation juridique</w:t>
      </w:r>
    </w:p>
    <w:p w14:paraId="5E580968" w14:textId="77777777" w:rsidR="00D45524" w:rsidRPr="00D45524" w:rsidRDefault="00EE1EFD"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Pr>
          <w:rFonts w:ascii="Arial" w:eastAsia="Calibri" w:hAnsi="Arial" w:cs="Arial"/>
          <w:sz w:val="24"/>
          <w:szCs w:val="24"/>
        </w:rPr>
        <w:t>Joséphine Duval</w:t>
      </w:r>
      <w:r w:rsidR="00D45524" w:rsidRPr="00D45524">
        <w:rPr>
          <w:rFonts w:ascii="Arial" w:eastAsia="Calibri" w:hAnsi="Arial" w:cs="Arial"/>
          <w:sz w:val="24"/>
          <w:szCs w:val="24"/>
        </w:rPr>
        <w:t>, diplômée d’un master en développement commercial, est embauchée en CDI le 1</w:t>
      </w:r>
      <w:r w:rsidR="00D45524" w:rsidRPr="00D45524">
        <w:rPr>
          <w:rFonts w:ascii="Arial" w:eastAsia="Calibri" w:hAnsi="Arial" w:cs="Arial"/>
          <w:sz w:val="24"/>
          <w:szCs w:val="24"/>
          <w:vertAlign w:val="superscript"/>
        </w:rPr>
        <w:t>er</w:t>
      </w:r>
      <w:r w:rsidR="00D45524" w:rsidRPr="00D45524">
        <w:rPr>
          <w:rFonts w:ascii="Arial" w:eastAsia="Calibri" w:hAnsi="Arial" w:cs="Arial"/>
          <w:sz w:val="24"/>
          <w:szCs w:val="24"/>
        </w:rPr>
        <w:t xml:space="preserve"> septembre 2019 par la SARL UNIPUR qui vend des systèmes de filtration pour les climatisations. Cependant, après cinq mois, ses ventes ne décollent pas. Elles peinent à trouver des clients et à les convaincre car elle ne connaît pas suffisamment les produits. </w:t>
      </w:r>
    </w:p>
    <w:p w14:paraId="726DB272"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z w:val="24"/>
          <w:szCs w:val="24"/>
        </w:rPr>
        <w:t>Son directeur commercial l’avait inscrit à une formation technique. Mais</w:t>
      </w:r>
      <w:r w:rsidR="00EE1EFD">
        <w:rPr>
          <w:rFonts w:ascii="Arial" w:eastAsia="Calibri" w:hAnsi="Arial" w:cs="Arial"/>
          <w:sz w:val="24"/>
          <w:szCs w:val="24"/>
        </w:rPr>
        <w:t>,</w:t>
      </w:r>
      <w:r w:rsidRPr="00D45524">
        <w:rPr>
          <w:rFonts w:ascii="Arial" w:eastAsia="Calibri" w:hAnsi="Arial" w:cs="Arial"/>
          <w:sz w:val="24"/>
          <w:szCs w:val="24"/>
        </w:rPr>
        <w:t xml:space="preserve"> submergée par le travail, elle avait décidé de ne pas la suivre. Elle en avait informé, par courriel, son directeur commercial qui lui avait répondu, en retour, par un autre courriel : « Je te remercie de m’avoir prévenu. Je comprends ta décision de vouloir avancer ton travail plutôt que d’aller en formation compte tenu du retard pris dans ta prospection ». </w:t>
      </w:r>
    </w:p>
    <w:p w14:paraId="7563AD2E"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z w:val="24"/>
          <w:szCs w:val="24"/>
        </w:rPr>
        <w:t xml:space="preserve">Son directeur commercial décide de lui proposer une deuxième formation, qu’elle refusera de la même manière. Fin juin 2020, Joséphine n’a réalisé que 25% de ses objectifs de ventes alors que les mois de mai et juin devaient être des plus propices. </w:t>
      </w:r>
    </w:p>
    <w:p w14:paraId="0BF7C1F6"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z w:val="24"/>
          <w:szCs w:val="24"/>
        </w:rPr>
        <w:t>Le 15 juillet, comme tous les mois, elle est convoquée par son directeur commercial pour faire le point. Il constate qu’elle ne remplit pas ses objectifs de vente car elle ne maîtrise pas les aspects techniques des produits suite à ses deux refus de formation. Cette constatation ressort d’une enquête de satisfaction faite auprès de plusieurs clients que Joséphine n’a pas su convaincre. A ce même entretien, il lui annonce donc qu’elle est licenciée.</w:t>
      </w:r>
    </w:p>
    <w:p w14:paraId="3AD8C4C6"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z w:val="24"/>
          <w:szCs w:val="24"/>
        </w:rPr>
        <w:t>Elle reçoit, le lendemain de cet entretien, une lettre lui notifiant son licenciement selon le motif « Inaptitude à s’adapter au travail demandé suite à un refus de formation ».</w:t>
      </w:r>
    </w:p>
    <w:p w14:paraId="2901A192"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z w:val="24"/>
          <w:szCs w:val="24"/>
        </w:rPr>
        <w:t xml:space="preserve">Joséphine </w:t>
      </w:r>
      <w:r w:rsidR="00EE1EFD">
        <w:rPr>
          <w:rFonts w:ascii="Arial" w:eastAsia="Calibri" w:hAnsi="Arial" w:cs="Arial"/>
          <w:sz w:val="24"/>
          <w:szCs w:val="24"/>
        </w:rPr>
        <w:t xml:space="preserve">Duval </w:t>
      </w:r>
      <w:r w:rsidRPr="00D45524">
        <w:rPr>
          <w:rFonts w:ascii="Arial" w:eastAsia="Calibri" w:hAnsi="Arial" w:cs="Arial"/>
          <w:sz w:val="24"/>
          <w:szCs w:val="24"/>
        </w:rPr>
        <w:t xml:space="preserve">vous demande de la conseiller car elle souhaite contester son licenciement. </w:t>
      </w:r>
    </w:p>
    <w:p w14:paraId="3EA01603"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Calibri" w:eastAsia="Calibri" w:hAnsi="Calibri" w:cs="Calibri"/>
        </w:rPr>
      </w:pPr>
      <w:r w:rsidRPr="00D45524">
        <w:rPr>
          <w:rFonts w:ascii="Arial" w:eastAsia="Calibri" w:hAnsi="Arial" w:cs="Arial"/>
          <w:b/>
          <w:sz w:val="24"/>
        </w:rPr>
        <w:t>Questions</w:t>
      </w:r>
    </w:p>
    <w:p w14:paraId="1E793EDE"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bCs/>
          <w:sz w:val="24"/>
          <w:szCs w:val="24"/>
        </w:rPr>
      </w:pPr>
      <w:r w:rsidRPr="00D45524">
        <w:rPr>
          <w:rFonts w:ascii="Arial" w:eastAsia="Calibri" w:hAnsi="Arial" w:cs="Arial"/>
          <w:b/>
          <w:bCs/>
          <w:sz w:val="24"/>
          <w:szCs w:val="24"/>
        </w:rPr>
        <w:t>1. Résumez les faits, les parties en utilisant des qualifications juridiques.</w:t>
      </w:r>
    </w:p>
    <w:p w14:paraId="2C6D92F5"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sz w:val="24"/>
          <w:szCs w:val="24"/>
        </w:rPr>
      </w:pPr>
      <w:r w:rsidRPr="00D45524">
        <w:rPr>
          <w:rFonts w:ascii="Arial" w:eastAsia="Calibri" w:hAnsi="Arial" w:cs="Arial"/>
          <w:b/>
          <w:bCs/>
          <w:sz w:val="24"/>
          <w:szCs w:val="24"/>
        </w:rPr>
        <w:t>2. Précisez le type de licenciement mis en œuvre.</w:t>
      </w:r>
    </w:p>
    <w:p w14:paraId="02AB7F59"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bCs/>
          <w:sz w:val="24"/>
          <w:szCs w:val="24"/>
        </w:rPr>
      </w:pPr>
      <w:r w:rsidRPr="00D45524">
        <w:rPr>
          <w:rFonts w:ascii="Arial" w:eastAsia="Calibri" w:hAnsi="Arial" w:cs="Arial"/>
          <w:b/>
          <w:bCs/>
          <w:sz w:val="24"/>
          <w:szCs w:val="24"/>
        </w:rPr>
        <w:t>3. Exposez l’argumentation juridique que pourrait développer Joséphine pour contester son licenciement sur le fond et sur la forme.</w:t>
      </w:r>
    </w:p>
    <w:p w14:paraId="0841319B"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bCs/>
          <w:sz w:val="24"/>
          <w:szCs w:val="24"/>
        </w:rPr>
      </w:pPr>
      <w:r w:rsidRPr="00D45524">
        <w:rPr>
          <w:rFonts w:ascii="Arial" w:eastAsia="Calibri" w:hAnsi="Arial" w:cs="Arial"/>
          <w:b/>
          <w:bCs/>
          <w:sz w:val="24"/>
          <w:szCs w:val="24"/>
        </w:rPr>
        <w:t xml:space="preserve">4. Proposez les arguments juridiques que son employeur pourrait alors lui opposer. </w:t>
      </w:r>
    </w:p>
    <w:p w14:paraId="4818CA99"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bCs/>
          <w:sz w:val="24"/>
          <w:szCs w:val="24"/>
        </w:rPr>
      </w:pPr>
      <w:r w:rsidRPr="00D45524">
        <w:rPr>
          <w:rFonts w:ascii="Arial" w:eastAsia="Calibri" w:hAnsi="Arial" w:cs="Arial"/>
          <w:b/>
          <w:bCs/>
          <w:sz w:val="24"/>
          <w:szCs w:val="24"/>
        </w:rPr>
        <w:t>5. Justifiez l’existence des règles de procédure en matière de licenciement individuel.</w:t>
      </w:r>
      <w:r w:rsidRPr="00D45524">
        <w:rPr>
          <w:rFonts w:ascii="Arial" w:eastAsia="Calibri" w:hAnsi="Arial" w:cs="Arial"/>
          <w:b/>
          <w:bCs/>
          <w:sz w:val="24"/>
          <w:szCs w:val="24"/>
          <w:u w:val="single"/>
        </w:rPr>
        <w:br w:type="page"/>
      </w:r>
    </w:p>
    <w:p w14:paraId="7A211E65"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Calibri" w:hAnsi="Arial" w:cs="Arial"/>
          <w:b/>
          <w:sz w:val="24"/>
          <w:szCs w:val="24"/>
          <w:u w:val="single"/>
        </w:rPr>
      </w:pPr>
      <w:r w:rsidRPr="00D45524">
        <w:rPr>
          <w:rFonts w:ascii="Arial" w:eastAsia="Calibri" w:hAnsi="Arial" w:cs="Arial"/>
          <w:b/>
          <w:bCs/>
          <w:sz w:val="24"/>
          <w:szCs w:val="24"/>
          <w:u w:val="single"/>
        </w:rPr>
        <w:lastRenderedPageBreak/>
        <w:t>Annexe 1</w:t>
      </w:r>
      <w:r w:rsidRPr="00D45524">
        <w:rPr>
          <w:rFonts w:ascii="Arial" w:eastAsia="Calibri" w:hAnsi="Arial" w:cs="Arial"/>
          <w:b/>
          <w:bCs/>
          <w:sz w:val="24"/>
          <w:szCs w:val="24"/>
        </w:rPr>
        <w:t>: Extraits du Code du travail</w:t>
      </w:r>
    </w:p>
    <w:p w14:paraId="6397FCE7"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outlineLvl w:val="1"/>
        <w:rPr>
          <w:rFonts w:ascii="Arial" w:eastAsia="Times New Roman" w:hAnsi="Arial" w:cs="Arial"/>
          <w:b/>
          <w:bCs/>
          <w:sz w:val="24"/>
          <w:szCs w:val="24"/>
          <w:lang w:eastAsia="fr-FR"/>
        </w:rPr>
      </w:pPr>
      <w:r w:rsidRPr="00D45524">
        <w:rPr>
          <w:rFonts w:ascii="Arial" w:eastAsia="Times New Roman" w:hAnsi="Arial" w:cs="Arial"/>
          <w:b/>
          <w:bCs/>
          <w:sz w:val="24"/>
          <w:szCs w:val="24"/>
          <w:lang w:eastAsia="fr-FR"/>
        </w:rPr>
        <w:t>Article L1222-1</w:t>
      </w:r>
    </w:p>
    <w:p w14:paraId="58CE1FA1"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color w:val="3C3C3C"/>
          <w:sz w:val="24"/>
          <w:szCs w:val="24"/>
          <w:lang w:eastAsia="fr-FR"/>
        </w:rPr>
      </w:pPr>
      <w:r w:rsidRPr="00D45524">
        <w:rPr>
          <w:rFonts w:ascii="Arial" w:eastAsia="Times New Roman" w:hAnsi="Arial" w:cs="Arial"/>
          <w:sz w:val="24"/>
          <w:szCs w:val="24"/>
          <w:lang w:eastAsia="fr-FR"/>
        </w:rPr>
        <w:t>Le contrat de travail est exécuté de bonne foi</w:t>
      </w:r>
      <w:r w:rsidRPr="00D45524">
        <w:rPr>
          <w:rFonts w:ascii="Arial" w:eastAsia="Times New Roman" w:hAnsi="Arial" w:cs="Arial"/>
          <w:color w:val="3C3C3C"/>
          <w:sz w:val="24"/>
          <w:szCs w:val="24"/>
          <w:lang w:eastAsia="fr-FR"/>
        </w:rPr>
        <w:t>.</w:t>
      </w:r>
    </w:p>
    <w:p w14:paraId="76A04B09" w14:textId="7288F7F6" w:rsidR="00D45524" w:rsidRPr="00D45524" w:rsidRDefault="00421860"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sz w:val="24"/>
          <w:szCs w:val="24"/>
          <w:lang w:eastAsia="fr-FR"/>
        </w:rPr>
      </w:pPr>
      <w:hyperlink r:id="rId8" w:tooltip="https://www.legifrance.gouv.fr/codes/article_lc/LEGIARTI000019071126" w:history="1">
        <w:r w:rsidR="00D45524" w:rsidRPr="00D45524">
          <w:rPr>
            <w:rFonts w:ascii="Arial" w:eastAsia="Times New Roman" w:hAnsi="Arial" w:cs="Arial"/>
            <w:b/>
            <w:bCs/>
            <w:sz w:val="24"/>
            <w:szCs w:val="24"/>
            <w:lang w:eastAsia="fr-FR"/>
          </w:rPr>
          <w:t>Article L1232-1</w:t>
        </w:r>
      </w:hyperlink>
    </w:p>
    <w:p w14:paraId="7E6B9984"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sz w:val="24"/>
          <w:szCs w:val="24"/>
          <w:lang w:eastAsia="fr-FR"/>
        </w:rPr>
      </w:pPr>
      <w:r w:rsidRPr="00D45524">
        <w:rPr>
          <w:rFonts w:ascii="Arial" w:eastAsia="Times New Roman" w:hAnsi="Arial" w:cs="Arial"/>
          <w:sz w:val="24"/>
          <w:szCs w:val="24"/>
          <w:lang w:eastAsia="fr-FR"/>
        </w:rPr>
        <w:t>Tout licenciement pour motif personnel est motivé dans les conditions définies par le présent chapitre.</w:t>
      </w:r>
    </w:p>
    <w:p w14:paraId="00ED69E6"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sz w:val="24"/>
          <w:szCs w:val="24"/>
          <w:lang w:eastAsia="fr-FR"/>
        </w:rPr>
      </w:pPr>
      <w:r w:rsidRPr="00D45524">
        <w:rPr>
          <w:rFonts w:ascii="Arial" w:eastAsia="Times New Roman" w:hAnsi="Arial" w:cs="Arial"/>
          <w:sz w:val="24"/>
          <w:szCs w:val="24"/>
          <w:lang w:eastAsia="fr-FR"/>
        </w:rPr>
        <w:t>Il est justifié par une cause réelle et sérieuse.</w:t>
      </w:r>
    </w:p>
    <w:p w14:paraId="2F04434B" w14:textId="0B9D9B58" w:rsidR="00D45524" w:rsidRPr="00D45524" w:rsidRDefault="00421860"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outlineLvl w:val="1"/>
        <w:rPr>
          <w:rFonts w:ascii="Arial" w:eastAsia="Times New Roman" w:hAnsi="Arial" w:cs="Arial"/>
          <w:b/>
          <w:bCs/>
          <w:sz w:val="24"/>
          <w:szCs w:val="24"/>
          <w:lang w:eastAsia="fr-FR"/>
        </w:rPr>
      </w:pPr>
      <w:hyperlink r:id="rId9" w:tooltip="https://www.legifrance.gouv.fr/codes/article_lc/LEGIARTI000006901000" w:history="1">
        <w:r w:rsidR="00D45524" w:rsidRPr="00D45524">
          <w:rPr>
            <w:rFonts w:ascii="Arial" w:eastAsia="Times New Roman" w:hAnsi="Arial" w:cs="Arial"/>
            <w:b/>
            <w:bCs/>
            <w:sz w:val="24"/>
            <w:szCs w:val="24"/>
            <w:lang w:eastAsia="fr-FR"/>
          </w:rPr>
          <w:t>Article L1232-2</w:t>
        </w:r>
      </w:hyperlink>
    </w:p>
    <w:p w14:paraId="51966A90"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sz w:val="24"/>
          <w:szCs w:val="24"/>
          <w:lang w:eastAsia="fr-FR"/>
        </w:rPr>
        <w:t>L'employeur qui envisage de licencier un salarié le convoque, avant toute décision, à un entretien préalable.</w:t>
      </w:r>
    </w:p>
    <w:p w14:paraId="1283053F"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sz w:val="24"/>
          <w:szCs w:val="24"/>
          <w:lang w:eastAsia="fr-FR"/>
        </w:rPr>
        <w:t>La convocation est effectuée par lettre recommandée ou par lettre remise en main propre contre décharge. Cette lettre indique l'objet de la convocation.</w:t>
      </w:r>
    </w:p>
    <w:p w14:paraId="476D0579"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sz w:val="24"/>
          <w:szCs w:val="24"/>
          <w:lang w:eastAsia="fr-FR"/>
        </w:rPr>
        <w:t>L'entretien préalable ne peut avoir lieu moins de cinq jours ouvrables après la présentation de la lettre recommandée ou la remise en main propre de la lettre de convocation.</w:t>
      </w:r>
    </w:p>
    <w:p w14:paraId="3C77C6A7" w14:textId="385D45ED" w:rsidR="00D45524" w:rsidRPr="00D45524" w:rsidRDefault="00421860"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outlineLvl w:val="1"/>
        <w:rPr>
          <w:rFonts w:ascii="Arial" w:eastAsia="Times New Roman" w:hAnsi="Arial" w:cs="Arial"/>
          <w:b/>
          <w:bCs/>
          <w:sz w:val="24"/>
          <w:szCs w:val="24"/>
          <w:lang w:eastAsia="fr-FR"/>
        </w:rPr>
      </w:pPr>
      <w:hyperlink r:id="rId10" w:tooltip="https://www.legifrance.gouv.fr/codes/article_lc/LEGIARTI000006901001" w:history="1">
        <w:r w:rsidR="00D45524" w:rsidRPr="00D45524">
          <w:rPr>
            <w:rFonts w:ascii="Arial" w:eastAsia="Times New Roman" w:hAnsi="Arial" w:cs="Arial"/>
            <w:b/>
            <w:bCs/>
            <w:sz w:val="24"/>
            <w:szCs w:val="24"/>
            <w:lang w:eastAsia="fr-FR"/>
          </w:rPr>
          <w:t>Article L1232-3</w:t>
        </w:r>
      </w:hyperlink>
    </w:p>
    <w:p w14:paraId="5A0CCA62"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sz w:val="24"/>
          <w:szCs w:val="24"/>
          <w:lang w:eastAsia="fr-FR"/>
        </w:rPr>
      </w:pPr>
      <w:r w:rsidRPr="00D45524">
        <w:rPr>
          <w:rFonts w:ascii="Arial" w:eastAsia="Times New Roman" w:hAnsi="Arial" w:cs="Arial"/>
          <w:sz w:val="24"/>
          <w:szCs w:val="24"/>
          <w:lang w:eastAsia="fr-FR"/>
        </w:rPr>
        <w:t>Au cours de l'entretien préalable, l'employeur indique les motifs de la décision envisagée et recueille les explications du salarié.</w:t>
      </w:r>
    </w:p>
    <w:p w14:paraId="37BD0A03" w14:textId="6D506F75" w:rsidR="00D45524" w:rsidRPr="00D45524" w:rsidRDefault="00421860"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outlineLvl w:val="1"/>
        <w:rPr>
          <w:rFonts w:ascii="Arial" w:eastAsia="Times New Roman" w:hAnsi="Arial" w:cs="Arial"/>
          <w:b/>
          <w:bCs/>
          <w:sz w:val="24"/>
          <w:szCs w:val="24"/>
          <w:lang w:eastAsia="fr-FR"/>
        </w:rPr>
      </w:pPr>
      <w:hyperlink r:id="rId11" w:tooltip="https://www.legifrance.gouv.fr/codes/article_lc/LEGIARTI000006901002" w:history="1">
        <w:r w:rsidR="00D45524" w:rsidRPr="00D45524">
          <w:rPr>
            <w:rFonts w:ascii="Arial" w:eastAsia="Times New Roman" w:hAnsi="Arial" w:cs="Arial"/>
            <w:b/>
            <w:bCs/>
            <w:sz w:val="24"/>
            <w:szCs w:val="24"/>
            <w:lang w:eastAsia="fr-FR"/>
          </w:rPr>
          <w:t>Article L1232-4</w:t>
        </w:r>
      </w:hyperlink>
    </w:p>
    <w:p w14:paraId="6A35EAF5" w14:textId="3D511B0E"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sz w:val="24"/>
          <w:szCs w:val="24"/>
          <w:lang w:eastAsia="fr-FR"/>
        </w:rPr>
      </w:pPr>
      <w:r w:rsidRPr="00D45524">
        <w:rPr>
          <w:rFonts w:ascii="Arial" w:eastAsia="Times New Roman" w:hAnsi="Arial" w:cs="Arial"/>
          <w:sz w:val="24"/>
          <w:szCs w:val="24"/>
          <w:lang w:eastAsia="fr-FR"/>
        </w:rPr>
        <w:t xml:space="preserve">Lors de son audition, le salarié peut se faire assister par une personne de son choix appartenant au personnel de l'entreprise </w:t>
      </w:r>
      <w:r w:rsidR="00CD0326">
        <w:rPr>
          <w:rFonts w:ascii="Arial" w:eastAsia="Times New Roman" w:hAnsi="Arial" w:cs="Arial"/>
          <w:sz w:val="24"/>
          <w:szCs w:val="24"/>
          <w:lang w:eastAsia="fr-FR"/>
        </w:rPr>
        <w:t>[</w:t>
      </w:r>
      <w:r w:rsidRPr="00D45524">
        <w:rPr>
          <w:rFonts w:ascii="Arial" w:eastAsia="Times New Roman" w:hAnsi="Arial" w:cs="Arial"/>
          <w:sz w:val="24"/>
          <w:szCs w:val="24"/>
          <w:lang w:eastAsia="fr-FR"/>
        </w:rPr>
        <w:t>…</w:t>
      </w:r>
      <w:r w:rsidR="00CD0326">
        <w:rPr>
          <w:rFonts w:ascii="Arial" w:eastAsia="Times New Roman" w:hAnsi="Arial" w:cs="Arial"/>
          <w:sz w:val="24"/>
          <w:szCs w:val="24"/>
          <w:lang w:eastAsia="fr-FR"/>
        </w:rPr>
        <w:t>]</w:t>
      </w:r>
      <w:r w:rsidRPr="00D45524">
        <w:rPr>
          <w:rFonts w:ascii="Arial" w:eastAsia="Times New Roman" w:hAnsi="Arial" w:cs="Arial"/>
          <w:sz w:val="24"/>
          <w:szCs w:val="24"/>
          <w:lang w:eastAsia="fr-FR"/>
        </w:rPr>
        <w:t>.</w:t>
      </w:r>
    </w:p>
    <w:p w14:paraId="318398FD" w14:textId="41D0DDF4" w:rsidR="00D45524" w:rsidRPr="00D45524" w:rsidRDefault="00421860"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outlineLvl w:val="1"/>
        <w:rPr>
          <w:rFonts w:ascii="Arial" w:eastAsia="Times New Roman" w:hAnsi="Arial" w:cs="Arial"/>
          <w:b/>
          <w:bCs/>
          <w:sz w:val="24"/>
          <w:szCs w:val="24"/>
          <w:lang w:eastAsia="fr-FR"/>
        </w:rPr>
      </w:pPr>
      <w:hyperlink r:id="rId12" w:tooltip="https://www.legifrance.gouv.fr/codes/article_lc/LEGIARTI000036762096" w:history="1">
        <w:r w:rsidR="00D45524" w:rsidRPr="00D45524">
          <w:rPr>
            <w:rFonts w:ascii="Arial" w:eastAsia="Times New Roman" w:hAnsi="Arial" w:cs="Arial"/>
            <w:b/>
            <w:bCs/>
            <w:sz w:val="24"/>
            <w:szCs w:val="24"/>
            <w:lang w:eastAsia="fr-FR"/>
          </w:rPr>
          <w:t>Article L1232-6</w:t>
        </w:r>
      </w:hyperlink>
    </w:p>
    <w:p w14:paraId="2090EF8A"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sz w:val="24"/>
          <w:szCs w:val="24"/>
          <w:lang w:eastAsia="fr-FR"/>
        </w:rPr>
      </w:pPr>
      <w:r w:rsidRPr="00D45524">
        <w:rPr>
          <w:rFonts w:ascii="Arial" w:eastAsia="Times New Roman" w:hAnsi="Arial" w:cs="Arial"/>
          <w:sz w:val="24"/>
          <w:szCs w:val="24"/>
          <w:lang w:eastAsia="fr-FR"/>
        </w:rPr>
        <w:t>Lorsque l'employeur décide de licencier un salarié, il lui notifie sa décision par lettre recommandée avec avis de réception.</w:t>
      </w:r>
    </w:p>
    <w:p w14:paraId="73423B80"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sz w:val="24"/>
          <w:szCs w:val="24"/>
          <w:lang w:eastAsia="fr-FR"/>
        </w:rPr>
      </w:pPr>
      <w:r w:rsidRPr="00D45524">
        <w:rPr>
          <w:rFonts w:ascii="Arial" w:eastAsia="Times New Roman" w:hAnsi="Arial" w:cs="Arial"/>
          <w:sz w:val="24"/>
          <w:szCs w:val="24"/>
          <w:lang w:eastAsia="fr-FR"/>
        </w:rPr>
        <w:t>Cette lettre comporte l'énoncé du ou des motifs invoqués par l'employeur.</w:t>
      </w:r>
    </w:p>
    <w:p w14:paraId="4EF18A72" w14:textId="69FE55AB"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sz w:val="24"/>
          <w:szCs w:val="24"/>
          <w:lang w:eastAsia="fr-FR"/>
        </w:rPr>
      </w:pPr>
      <w:r w:rsidRPr="00D45524">
        <w:rPr>
          <w:rFonts w:ascii="Arial" w:eastAsia="Times New Roman" w:hAnsi="Arial" w:cs="Arial"/>
          <w:sz w:val="24"/>
          <w:szCs w:val="24"/>
          <w:lang w:eastAsia="fr-FR"/>
        </w:rPr>
        <w:t xml:space="preserve">Elle ne peut être expédiée moins de deux jours ouvrables après la date prévue de l'entretien préalable au licenciement auquel le salarié a été convoqué </w:t>
      </w:r>
      <w:r w:rsidR="00CD0326">
        <w:rPr>
          <w:rFonts w:ascii="Arial" w:eastAsia="Times New Roman" w:hAnsi="Arial" w:cs="Arial"/>
          <w:sz w:val="24"/>
          <w:szCs w:val="24"/>
          <w:lang w:eastAsia="fr-FR"/>
        </w:rPr>
        <w:t>[</w:t>
      </w:r>
      <w:r w:rsidRPr="00D45524">
        <w:rPr>
          <w:rFonts w:ascii="Arial" w:eastAsia="Times New Roman" w:hAnsi="Arial" w:cs="Arial"/>
          <w:sz w:val="24"/>
          <w:szCs w:val="24"/>
          <w:lang w:eastAsia="fr-FR"/>
        </w:rPr>
        <w:t>…</w:t>
      </w:r>
      <w:r w:rsidR="00CD0326">
        <w:rPr>
          <w:rFonts w:ascii="Arial" w:eastAsia="Times New Roman" w:hAnsi="Arial" w:cs="Arial"/>
          <w:sz w:val="24"/>
          <w:szCs w:val="24"/>
          <w:lang w:eastAsia="fr-FR"/>
        </w:rPr>
        <w:t>]</w:t>
      </w:r>
      <w:r w:rsidRPr="00D45524">
        <w:rPr>
          <w:rFonts w:ascii="Arial" w:eastAsia="Times New Roman" w:hAnsi="Arial" w:cs="Arial"/>
          <w:sz w:val="24"/>
          <w:szCs w:val="24"/>
          <w:lang w:eastAsia="fr-FR"/>
        </w:rPr>
        <w:t>.</w:t>
      </w:r>
    </w:p>
    <w:p w14:paraId="23591573" w14:textId="04DFBCA0" w:rsidR="00D45524" w:rsidRPr="00D45524" w:rsidRDefault="00421860"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outlineLvl w:val="1"/>
        <w:rPr>
          <w:rFonts w:ascii="Arial" w:eastAsia="Times New Roman" w:hAnsi="Arial" w:cs="Arial"/>
          <w:b/>
          <w:bCs/>
          <w:sz w:val="24"/>
          <w:szCs w:val="24"/>
          <w:lang w:eastAsia="fr-FR"/>
        </w:rPr>
      </w:pPr>
      <w:hyperlink r:id="rId13" w:tooltip="https://www.legifrance.gouv.fr/codes/article_lc/LEGIARTI000019071124" w:history="1">
        <w:r w:rsidR="00D45524" w:rsidRPr="00D45524">
          <w:rPr>
            <w:rFonts w:ascii="Arial" w:eastAsia="Times New Roman" w:hAnsi="Arial" w:cs="Arial"/>
            <w:b/>
            <w:bCs/>
            <w:sz w:val="24"/>
            <w:szCs w:val="24"/>
            <w:lang w:eastAsia="fr-FR"/>
          </w:rPr>
          <w:t>Article L1233-2</w:t>
        </w:r>
      </w:hyperlink>
    </w:p>
    <w:p w14:paraId="2B98B50B"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sz w:val="24"/>
          <w:szCs w:val="24"/>
          <w:lang w:eastAsia="fr-FR"/>
        </w:rPr>
      </w:pPr>
      <w:r w:rsidRPr="00D45524">
        <w:rPr>
          <w:rFonts w:ascii="Arial" w:eastAsia="Times New Roman" w:hAnsi="Arial" w:cs="Arial"/>
          <w:sz w:val="24"/>
          <w:szCs w:val="24"/>
          <w:lang w:eastAsia="fr-FR"/>
        </w:rPr>
        <w:t>Tout licenciement pour motif économique est motivé dans les conditions définies par le présent chapitre.</w:t>
      </w:r>
    </w:p>
    <w:p w14:paraId="1C663FCA"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sz w:val="24"/>
          <w:szCs w:val="24"/>
          <w:lang w:eastAsia="fr-FR"/>
        </w:rPr>
      </w:pPr>
      <w:r w:rsidRPr="00D45524">
        <w:rPr>
          <w:rFonts w:ascii="Arial" w:eastAsia="Times New Roman" w:hAnsi="Arial" w:cs="Arial"/>
          <w:sz w:val="24"/>
          <w:szCs w:val="24"/>
          <w:lang w:eastAsia="fr-FR"/>
        </w:rPr>
        <w:t>Il est justifié par une cause réelle et sérieuse.</w:t>
      </w:r>
    </w:p>
    <w:p w14:paraId="19A9E53A"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b/>
          <w:bCs/>
          <w:color w:val="000000"/>
          <w:sz w:val="24"/>
          <w:szCs w:val="24"/>
          <w:lang w:eastAsia="fr-FR"/>
        </w:rPr>
      </w:pPr>
      <w:r w:rsidRPr="00D45524">
        <w:rPr>
          <w:rFonts w:ascii="Arial" w:eastAsia="Times New Roman" w:hAnsi="Arial" w:cs="Arial"/>
          <w:b/>
          <w:bCs/>
          <w:color w:val="000000"/>
          <w:sz w:val="24"/>
          <w:szCs w:val="24"/>
          <w:lang w:eastAsia="fr-FR"/>
        </w:rPr>
        <w:t>Article L6321-1</w:t>
      </w:r>
    </w:p>
    <w:p w14:paraId="25CBA86E"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color w:val="000000"/>
          <w:sz w:val="24"/>
          <w:szCs w:val="24"/>
          <w:lang w:eastAsia="fr-FR"/>
        </w:rPr>
      </w:pPr>
      <w:r w:rsidRPr="00D45524">
        <w:rPr>
          <w:rFonts w:ascii="Arial" w:eastAsia="Times New Roman" w:hAnsi="Arial" w:cs="Arial"/>
          <w:color w:val="000000"/>
          <w:sz w:val="24"/>
          <w:szCs w:val="24"/>
          <w:lang w:eastAsia="fr-FR"/>
        </w:rPr>
        <w:t>L'employeur assure l'adaptation des salariés à leur poste de travail.</w:t>
      </w:r>
    </w:p>
    <w:p w14:paraId="11094CF2" w14:textId="25A423EB"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color w:val="000000"/>
          <w:sz w:val="24"/>
          <w:szCs w:val="24"/>
          <w:lang w:eastAsia="fr-FR"/>
        </w:rPr>
      </w:pPr>
      <w:r w:rsidRPr="00D45524">
        <w:rPr>
          <w:rFonts w:ascii="Arial" w:eastAsia="Times New Roman" w:hAnsi="Arial" w:cs="Arial"/>
          <w:color w:val="000000"/>
          <w:sz w:val="24"/>
          <w:szCs w:val="24"/>
          <w:lang w:eastAsia="fr-FR"/>
        </w:rPr>
        <w:t xml:space="preserve">Il veille au maintien de leur capacité à occuper un emploi, au regard notamment de l'évolution des emplois, des technologies et des organisations </w:t>
      </w:r>
      <w:r w:rsidR="00CD0326">
        <w:rPr>
          <w:rFonts w:ascii="Arial" w:eastAsia="Times New Roman" w:hAnsi="Arial" w:cs="Arial"/>
          <w:color w:val="000000"/>
          <w:sz w:val="24"/>
          <w:szCs w:val="24"/>
          <w:lang w:eastAsia="fr-FR"/>
        </w:rPr>
        <w:t>[</w:t>
      </w:r>
      <w:r w:rsidRPr="00D45524">
        <w:rPr>
          <w:rFonts w:ascii="Arial" w:eastAsia="Times New Roman" w:hAnsi="Arial" w:cs="Arial"/>
          <w:color w:val="000000"/>
          <w:sz w:val="24"/>
          <w:szCs w:val="24"/>
          <w:lang w:eastAsia="fr-FR"/>
        </w:rPr>
        <w:t>…</w:t>
      </w:r>
      <w:r w:rsidR="00CD0326">
        <w:rPr>
          <w:rFonts w:ascii="Arial" w:eastAsia="Times New Roman" w:hAnsi="Arial" w:cs="Arial"/>
          <w:color w:val="000000"/>
          <w:sz w:val="24"/>
          <w:szCs w:val="24"/>
          <w:lang w:eastAsia="fr-FR"/>
        </w:rPr>
        <w:t>]</w:t>
      </w:r>
      <w:r w:rsidRPr="00D45524">
        <w:rPr>
          <w:rFonts w:ascii="Arial" w:eastAsia="Times New Roman" w:hAnsi="Arial" w:cs="Arial"/>
          <w:color w:val="000000"/>
          <w:sz w:val="24"/>
          <w:szCs w:val="24"/>
          <w:lang w:eastAsia="fr-FR"/>
        </w:rPr>
        <w:t>.</w:t>
      </w:r>
    </w:p>
    <w:p w14:paraId="2CD9903F" w14:textId="010418C1"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color w:val="000000"/>
          <w:sz w:val="24"/>
          <w:szCs w:val="24"/>
          <w:lang w:eastAsia="fr-FR"/>
        </w:rPr>
      </w:pPr>
      <w:r w:rsidRPr="00D45524">
        <w:rPr>
          <w:rFonts w:ascii="Arial" w:eastAsia="Times New Roman" w:hAnsi="Arial" w:cs="Arial"/>
          <w:color w:val="000000"/>
          <w:sz w:val="24"/>
          <w:szCs w:val="24"/>
          <w:lang w:eastAsia="fr-FR"/>
        </w:rPr>
        <w:t xml:space="preserve">Il peut proposer des formations qui participent au développement des compétences, ainsi qu'à la lutte contre l'illettrisme </w:t>
      </w:r>
      <w:r w:rsidR="00CD0326">
        <w:rPr>
          <w:rFonts w:ascii="Arial" w:eastAsia="Times New Roman" w:hAnsi="Arial" w:cs="Arial"/>
          <w:color w:val="000000"/>
          <w:sz w:val="24"/>
          <w:szCs w:val="24"/>
          <w:lang w:eastAsia="fr-FR"/>
        </w:rPr>
        <w:t>[</w:t>
      </w:r>
      <w:r w:rsidRPr="00D45524">
        <w:rPr>
          <w:rFonts w:ascii="Arial" w:eastAsia="Times New Roman" w:hAnsi="Arial" w:cs="Arial"/>
          <w:color w:val="000000"/>
          <w:sz w:val="24"/>
          <w:szCs w:val="24"/>
          <w:lang w:eastAsia="fr-FR"/>
        </w:rPr>
        <w:t>…</w:t>
      </w:r>
      <w:r w:rsidR="00CD0326">
        <w:rPr>
          <w:rFonts w:ascii="Arial" w:eastAsia="Times New Roman" w:hAnsi="Arial" w:cs="Arial"/>
          <w:color w:val="000000"/>
          <w:sz w:val="24"/>
          <w:szCs w:val="24"/>
          <w:lang w:eastAsia="fr-FR"/>
        </w:rPr>
        <w:t>]</w:t>
      </w:r>
      <w:r w:rsidRPr="00D45524">
        <w:rPr>
          <w:rFonts w:ascii="Arial" w:eastAsia="Times New Roman" w:hAnsi="Arial" w:cs="Arial"/>
          <w:color w:val="000000"/>
          <w:sz w:val="24"/>
          <w:szCs w:val="24"/>
          <w:lang w:eastAsia="fr-FR"/>
        </w:rPr>
        <w:t>.</w:t>
      </w:r>
    </w:p>
    <w:p w14:paraId="317F7A6F" w14:textId="77777777" w:rsid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b/>
          <w:bCs/>
          <w:color w:val="000000"/>
          <w:sz w:val="24"/>
          <w:szCs w:val="24"/>
          <w:lang w:eastAsia="fr-FR"/>
        </w:rPr>
      </w:pPr>
      <w:r>
        <w:rPr>
          <w:rFonts w:ascii="Arial" w:eastAsia="Times New Roman" w:hAnsi="Arial" w:cs="Arial"/>
          <w:b/>
          <w:bCs/>
          <w:color w:val="000000"/>
          <w:sz w:val="24"/>
          <w:szCs w:val="24"/>
          <w:lang w:eastAsia="fr-FR"/>
        </w:rPr>
        <w:br w:type="page"/>
      </w:r>
    </w:p>
    <w:p w14:paraId="0288BAFC"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rPr>
          <w:rFonts w:ascii="Arial" w:eastAsia="Times New Roman" w:hAnsi="Arial" w:cs="Arial"/>
          <w:b/>
          <w:bCs/>
          <w:color w:val="000000"/>
          <w:sz w:val="24"/>
          <w:szCs w:val="24"/>
          <w:lang w:eastAsia="fr-FR"/>
        </w:rPr>
      </w:pPr>
      <w:r w:rsidRPr="00D45524">
        <w:rPr>
          <w:rFonts w:ascii="Arial" w:eastAsia="Times New Roman" w:hAnsi="Arial" w:cs="Arial"/>
          <w:b/>
          <w:bCs/>
          <w:color w:val="000000"/>
          <w:sz w:val="24"/>
          <w:szCs w:val="24"/>
          <w:lang w:eastAsia="fr-FR"/>
        </w:rPr>
        <w:lastRenderedPageBreak/>
        <w:t>Article L6321-2</w:t>
      </w:r>
    </w:p>
    <w:p w14:paraId="527A1409"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color w:val="000000"/>
          <w:sz w:val="24"/>
          <w:szCs w:val="24"/>
          <w:lang w:eastAsia="fr-FR"/>
        </w:rPr>
        <w:t xml:space="preserve">Toute action de formation suivie par un salarié pour assurer son adaptation au poste de travail ou liée à l'évolution ou au maintien dans l'emploi dans l'entreprise constitue un temps de travail effectif et donne lieu pendant sa réalisation au maintien par </w:t>
      </w:r>
      <w:r w:rsidRPr="00D45524">
        <w:rPr>
          <w:rFonts w:ascii="Arial" w:eastAsia="Times New Roman" w:hAnsi="Arial" w:cs="Arial"/>
          <w:sz w:val="24"/>
          <w:szCs w:val="24"/>
          <w:lang w:eastAsia="fr-FR"/>
        </w:rPr>
        <w:t>l'entreprise de la rémunération.</w:t>
      </w:r>
    </w:p>
    <w:p w14:paraId="305F89D8"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sz w:val="24"/>
          <w:szCs w:val="24"/>
          <w:lang w:eastAsia="fr-FR"/>
        </w:rPr>
      </w:pPr>
    </w:p>
    <w:p w14:paraId="5C37F584"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Arial" w:eastAsia="Calibri" w:hAnsi="Arial" w:cs="Arial"/>
          <w:b/>
          <w:bCs/>
          <w:sz w:val="24"/>
          <w:szCs w:val="24"/>
        </w:rPr>
      </w:pPr>
      <w:r w:rsidRPr="00D45524">
        <w:rPr>
          <w:rFonts w:ascii="Arial" w:eastAsia="Calibri" w:hAnsi="Arial" w:cs="Arial"/>
          <w:b/>
          <w:bCs/>
          <w:sz w:val="24"/>
          <w:szCs w:val="24"/>
          <w:u w:val="single"/>
        </w:rPr>
        <w:t>Annexe 2</w:t>
      </w:r>
      <w:r>
        <w:rPr>
          <w:rFonts w:ascii="Arial" w:eastAsia="Calibri" w:hAnsi="Arial" w:cs="Arial"/>
          <w:b/>
          <w:bCs/>
          <w:sz w:val="24"/>
          <w:szCs w:val="24"/>
        </w:rPr>
        <w:t>:</w:t>
      </w:r>
      <w:r w:rsidRPr="00D45524">
        <w:rPr>
          <w:rFonts w:ascii="Arial" w:eastAsia="Calibri" w:hAnsi="Arial" w:cs="Arial"/>
          <w:b/>
          <w:bCs/>
          <w:sz w:val="24"/>
          <w:szCs w:val="24"/>
        </w:rPr>
        <w:t xml:space="preserve"> La jurisprudence sur l’obligation de formation de l’employeur</w:t>
      </w:r>
    </w:p>
    <w:p w14:paraId="69D29ED2" w14:textId="1653F795"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pacing w:val="8"/>
          <w:sz w:val="24"/>
          <w:szCs w:val="24"/>
          <w:shd w:val="clear" w:color="auto" w:fill="FFFFFF"/>
        </w:rPr>
      </w:pPr>
      <w:r w:rsidRPr="00D45524">
        <w:rPr>
          <w:rFonts w:ascii="Arial" w:eastAsia="Calibri" w:hAnsi="Arial" w:cs="Arial"/>
          <w:spacing w:val="8"/>
          <w:sz w:val="24"/>
          <w:szCs w:val="24"/>
          <w:shd w:val="clear" w:color="auto" w:fill="FFFFFF"/>
        </w:rPr>
        <w:t>L’obligation de formation de l’employeur relève de son pouvoir de direction. L</w:t>
      </w:r>
      <w:r w:rsidRPr="00D45524">
        <w:rPr>
          <w:rFonts w:ascii="Arial" w:eastAsia="Calibri" w:hAnsi="Arial" w:cs="Arial"/>
          <w:sz w:val="24"/>
          <w:szCs w:val="24"/>
          <w:shd w:val="clear" w:color="auto" w:fill="FFFFFF"/>
        </w:rPr>
        <w:t>a décision d'envoyer en formation un salarié, dans le cadre du </w:t>
      </w:r>
      <w:hyperlink r:id="rId14" w:tooltip="https://www.elegia.fr/formations/plan-de-formation-plan-de-developpement-competences-optimiser-sa-gestion-operationnelle_600053" w:history="1">
        <w:r w:rsidRPr="00D45524">
          <w:rPr>
            <w:rFonts w:ascii="Arial" w:eastAsia="Calibri" w:hAnsi="Arial" w:cs="Arial"/>
            <w:sz w:val="24"/>
            <w:szCs w:val="24"/>
            <w:shd w:val="clear" w:color="auto" w:fill="FFFFFF"/>
          </w:rPr>
          <w:t>plan de formation</w:t>
        </w:r>
      </w:hyperlink>
      <w:r w:rsidRPr="00D45524">
        <w:rPr>
          <w:rFonts w:ascii="Arial" w:eastAsia="Calibri" w:hAnsi="Arial" w:cs="Arial"/>
          <w:sz w:val="24"/>
          <w:szCs w:val="24"/>
          <w:shd w:val="clear" w:color="auto" w:fill="FFFFFF"/>
        </w:rPr>
        <w:t>, fait partie des prérogatives de l'employeur et relève de son pouvoir de direction. L'employeur n'est pas tenu de demander son avis au salarié sauf pour certaines actions (par exemple, un bilan de compétences).</w:t>
      </w:r>
    </w:p>
    <w:p w14:paraId="5023BE46"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pacing w:val="8"/>
          <w:sz w:val="24"/>
          <w:szCs w:val="24"/>
          <w:shd w:val="clear" w:color="auto" w:fill="FFFFFF"/>
        </w:rPr>
        <w:t>Jusqu’au 03/05/2018, selon une jurisprudence constante, le fait de ne faire bénéficier un salarié d’aucune formation tout au long de sa carrière au sein de l’entreprise constituait un manquement au devoir d’adaptation au poste de travail, mais aussi à l’obligation plus générale de veiller au maintien de l’employabilité, c’est-à-dire de la capacité du salarié « à occuper un emploi au regard notamment de l’évolution des emplois, des technologies et des organisations » (art. L.6321-1 Code du travail).</w:t>
      </w:r>
    </w:p>
    <w:p w14:paraId="0647510F"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spacing w:val="8"/>
          <w:sz w:val="24"/>
          <w:szCs w:val="24"/>
          <w:lang w:eastAsia="fr-FR"/>
        </w:rPr>
      </w:pPr>
      <w:r w:rsidRPr="00D45524">
        <w:rPr>
          <w:rFonts w:ascii="Arial" w:eastAsia="Times New Roman" w:hAnsi="Arial" w:cs="Arial"/>
          <w:spacing w:val="8"/>
          <w:sz w:val="24"/>
          <w:szCs w:val="24"/>
          <w:lang w:eastAsia="fr-FR"/>
        </w:rPr>
        <w:t xml:space="preserve">Mais, dans son arrêt du </w:t>
      </w:r>
      <w:bookmarkStart w:id="4" w:name="_Hlk55367359"/>
      <w:r w:rsidRPr="00D45524">
        <w:rPr>
          <w:rFonts w:ascii="Arial" w:eastAsia="Times New Roman" w:hAnsi="Arial" w:cs="Arial"/>
          <w:spacing w:val="8"/>
          <w:sz w:val="24"/>
          <w:szCs w:val="24"/>
          <w:lang w:eastAsia="fr-FR"/>
        </w:rPr>
        <w:t xml:space="preserve">3 mai 2018 </w:t>
      </w:r>
      <w:bookmarkEnd w:id="4"/>
      <w:r w:rsidRPr="00D45524">
        <w:rPr>
          <w:rFonts w:ascii="Arial" w:eastAsia="Times New Roman" w:hAnsi="Arial" w:cs="Arial"/>
          <w:spacing w:val="8"/>
          <w:sz w:val="24"/>
          <w:szCs w:val="24"/>
          <w:lang w:eastAsia="fr-FR"/>
        </w:rPr>
        <w:t>(Cass. soc. 03/05/2018 n°16-26796), la Cour de cassation semble rebattre les cartes de ces principes. Dans cette affaire de 2018, le salarié faisait grief à l’arrêt de la Cour d’appel de l’avoir débouté de sa demande de condamnation de l’employeur au paiement de dommages-intérêts pour défaut de l’obligation de formation. Ce salarié n’avait bénéficié d’aucune formation professionnelle continue pendant toute la durée de son emploi dans l’entreprise (16 années).</w:t>
      </w:r>
    </w:p>
    <w:p w14:paraId="78FD66D1"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spacing w:val="8"/>
          <w:sz w:val="24"/>
          <w:szCs w:val="24"/>
          <w:lang w:eastAsia="fr-FR"/>
        </w:rPr>
      </w:pPr>
      <w:r w:rsidRPr="00D45524">
        <w:rPr>
          <w:rFonts w:ascii="Arial" w:eastAsia="Times New Roman" w:hAnsi="Arial" w:cs="Arial"/>
          <w:spacing w:val="8"/>
          <w:sz w:val="24"/>
          <w:szCs w:val="24"/>
          <w:lang w:eastAsia="fr-FR"/>
        </w:rPr>
        <w:t xml:space="preserve">Pour lui, ce fait établissait un manquement de l’employeur à son obligation de veiller au maintien de sa capacité à occuper un emploi, entraînant pour lui un préjudice qu’il appartenait au juge d’évaluer. La Cour de cassation a donné tort au salarié, au motif que : </w:t>
      </w:r>
    </w:p>
    <w:p w14:paraId="2C5E4CE0"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spacing w:val="8"/>
          <w:sz w:val="24"/>
          <w:szCs w:val="24"/>
          <w:lang w:eastAsia="fr-FR"/>
        </w:rPr>
      </w:pPr>
      <w:r w:rsidRPr="00D45524">
        <w:rPr>
          <w:rFonts w:ascii="Arial" w:eastAsia="Times New Roman" w:hAnsi="Arial" w:cs="Arial"/>
          <w:spacing w:val="8"/>
          <w:sz w:val="24"/>
          <w:szCs w:val="24"/>
          <w:lang w:eastAsia="fr-FR"/>
        </w:rPr>
        <w:t>« L’existence d’un préjudice et l’évaluation de celui-ci relèvent du pouvoir souverain d’appréciation des juges du fond ; la cour d’appel a estimé que le salarié ne justifiait d’aucun préjudice résultant du non-respect par l’employeur de son obligation de formation ; le moyen n’est pas fondé ».</w:t>
      </w:r>
    </w:p>
    <w:p w14:paraId="38B7E50C"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spacing w:val="8"/>
          <w:sz w:val="24"/>
          <w:szCs w:val="24"/>
          <w:lang w:eastAsia="fr-FR"/>
        </w:rPr>
      </w:pPr>
      <w:r w:rsidRPr="00D45524">
        <w:rPr>
          <w:rFonts w:ascii="Arial" w:eastAsia="Times New Roman" w:hAnsi="Arial" w:cs="Arial"/>
          <w:spacing w:val="8"/>
          <w:sz w:val="24"/>
          <w:szCs w:val="24"/>
          <w:lang w:eastAsia="fr-FR"/>
        </w:rPr>
        <w:t>En conclusion : l’indemnisation du salarié, pour non-respect par l’employeur de son obligation de formation, n’est plus automatique.</w:t>
      </w:r>
    </w:p>
    <w:p w14:paraId="01DAD5A1"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spacing w:val="8"/>
          <w:sz w:val="24"/>
          <w:szCs w:val="24"/>
          <w:lang w:eastAsia="fr-FR"/>
        </w:rPr>
      </w:pPr>
      <w:r w:rsidRPr="00D45524">
        <w:rPr>
          <w:rFonts w:ascii="Arial" w:eastAsia="Times New Roman" w:hAnsi="Arial" w:cs="Arial"/>
          <w:spacing w:val="8"/>
          <w:sz w:val="24"/>
          <w:szCs w:val="24"/>
          <w:lang w:eastAsia="fr-FR"/>
        </w:rPr>
        <w:t>Il appartient désormais au salarié de démontrer son préjudice subi devant les juges du fond, quelle que soit la durée d’absence de formation.</w:t>
      </w:r>
    </w:p>
    <w:p w14:paraId="434233EA"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spacing w:val="8"/>
          <w:sz w:val="24"/>
          <w:szCs w:val="24"/>
          <w:lang w:eastAsia="fr-FR"/>
        </w:rPr>
      </w:pPr>
    </w:p>
    <w:p w14:paraId="5DCE7B37"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40" w:lineRule="auto"/>
        <w:jc w:val="both"/>
        <w:rPr>
          <w:rFonts w:ascii="Arial" w:eastAsia="Times New Roman" w:hAnsi="Arial" w:cs="Arial"/>
          <w:spacing w:val="8"/>
          <w:sz w:val="24"/>
          <w:szCs w:val="24"/>
          <w:lang w:eastAsia="fr-FR"/>
        </w:rPr>
      </w:pPr>
      <w:r w:rsidRPr="00D45524">
        <w:rPr>
          <w:rFonts w:ascii="Arial" w:eastAsia="Times New Roman" w:hAnsi="Arial" w:cs="Arial"/>
          <w:b/>
          <w:bCs/>
          <w:sz w:val="24"/>
          <w:szCs w:val="24"/>
          <w:u w:val="single"/>
          <w:shd w:val="clear" w:color="auto" w:fill="FFFFFF"/>
          <w:lang w:eastAsia="fr-FR"/>
        </w:rPr>
        <w:t>Annexe 3</w:t>
      </w:r>
      <w:r w:rsidRPr="00D45524">
        <w:rPr>
          <w:rFonts w:ascii="Arial" w:eastAsia="Times New Roman" w:hAnsi="Arial" w:cs="Arial"/>
          <w:b/>
          <w:bCs/>
          <w:sz w:val="24"/>
          <w:szCs w:val="24"/>
          <w:shd w:val="clear" w:color="auto" w:fill="FFFFFF"/>
          <w:lang w:eastAsia="fr-FR"/>
        </w:rPr>
        <w:t>: Arrêt de la Cour de cassation chambre sociale du 13 février 2008</w:t>
      </w:r>
    </w:p>
    <w:p w14:paraId="5559CA57" w14:textId="24AC7B56"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shd w:val="clear" w:color="auto" w:fill="FFFFFF"/>
        </w:rPr>
      </w:pPr>
      <w:r w:rsidRPr="00D45524">
        <w:rPr>
          <w:rFonts w:ascii="Arial" w:eastAsia="Calibri" w:hAnsi="Arial" w:cs="Arial"/>
          <w:sz w:val="24"/>
          <w:szCs w:val="24"/>
          <w:shd w:val="clear" w:color="auto" w:fill="FFFFFF"/>
        </w:rPr>
        <w:t xml:space="preserve">Attendu, selon l'arrêt attaqué (Paris, 4 mai 2006), que Mme X..., engagée le 1er août 1991, par la Société d'exploitation hôtelière du CNIT (ci-après dénommée l'"employeur") pour travailler au sein de l'hôtel Sofitel Paris CNIT La Défense, qui exerçait en dernier lieu les fonctions de responsable des réservations, a été informée par son employeur, le 2 octobre 2002, que l'établissement serait fermé du 1er </w:t>
      </w:r>
      <w:r w:rsidRPr="00D45524">
        <w:rPr>
          <w:rFonts w:ascii="Arial" w:eastAsia="Calibri" w:hAnsi="Arial" w:cs="Arial"/>
          <w:sz w:val="24"/>
          <w:szCs w:val="24"/>
          <w:shd w:val="clear" w:color="auto" w:fill="FFFFFF"/>
        </w:rPr>
        <w:lastRenderedPageBreak/>
        <w:t xml:space="preserve">novembre 2002 au 30 avril 2003 et que les salariés qui ne pourraient être réaffectés pourraient bénéficier d'une mesure de chômage partiel </w:t>
      </w:r>
      <w:r w:rsidR="00CD0326">
        <w:rPr>
          <w:rFonts w:ascii="Arial" w:eastAsia="Calibri" w:hAnsi="Arial" w:cs="Arial"/>
          <w:sz w:val="24"/>
          <w:szCs w:val="24"/>
          <w:shd w:val="clear" w:color="auto" w:fill="FFFFFF"/>
        </w:rPr>
        <w:t>[</w:t>
      </w:r>
      <w:r w:rsidRPr="00D45524">
        <w:rPr>
          <w:rFonts w:ascii="Arial" w:eastAsia="Calibri" w:hAnsi="Arial" w:cs="Arial"/>
          <w:sz w:val="24"/>
          <w:szCs w:val="24"/>
          <w:shd w:val="clear" w:color="auto" w:fill="FFFFFF"/>
        </w:rPr>
        <w:t>…</w:t>
      </w:r>
      <w:r w:rsidR="004E3AEA">
        <w:rPr>
          <w:rFonts w:ascii="Arial" w:eastAsia="Calibri" w:hAnsi="Arial" w:cs="Arial"/>
          <w:sz w:val="24"/>
          <w:szCs w:val="24"/>
          <w:shd w:val="clear" w:color="auto" w:fill="FFFFFF"/>
        </w:rPr>
        <w:t>]</w:t>
      </w:r>
      <w:r w:rsidRPr="00D45524">
        <w:rPr>
          <w:rFonts w:ascii="Arial" w:eastAsia="Calibri" w:hAnsi="Arial" w:cs="Arial"/>
          <w:sz w:val="24"/>
          <w:szCs w:val="24"/>
          <w:shd w:val="clear" w:color="auto" w:fill="FFFFFF"/>
        </w:rPr>
        <w:t xml:space="preserve"> ; qu'après avoir participé à une formation durant quatre jours, la salariée n'y assistait plus ; qu'ayant vainement mis en demeure la salariée de se présenter en salle de formation et de justifier de son absence, l'employeur l'a licenciée le 16 mai 2003 ;</w:t>
      </w:r>
    </w:p>
    <w:p w14:paraId="70B451E1" w14:textId="5B69EBA8"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shd w:val="clear" w:color="auto" w:fill="FFFFFF"/>
        </w:rPr>
      </w:pPr>
      <w:r w:rsidRPr="00D45524">
        <w:rPr>
          <w:rFonts w:ascii="Arial" w:eastAsia="Calibri" w:hAnsi="Arial" w:cs="Arial"/>
          <w:sz w:val="24"/>
          <w:szCs w:val="24"/>
          <w:shd w:val="clear" w:color="auto" w:fill="FFFFFF"/>
        </w:rPr>
        <w:t xml:space="preserve">Attendu que Mme </w:t>
      </w:r>
      <w:proofErr w:type="gramStart"/>
      <w:r w:rsidRPr="00D45524">
        <w:rPr>
          <w:rFonts w:ascii="Arial" w:eastAsia="Calibri" w:hAnsi="Arial" w:cs="Arial"/>
          <w:sz w:val="24"/>
          <w:szCs w:val="24"/>
          <w:shd w:val="clear" w:color="auto" w:fill="FFFFFF"/>
        </w:rPr>
        <w:t>X...</w:t>
      </w:r>
      <w:proofErr w:type="gramEnd"/>
      <w:r w:rsidRPr="00D45524">
        <w:rPr>
          <w:rFonts w:ascii="Arial" w:eastAsia="Calibri" w:hAnsi="Arial" w:cs="Arial"/>
          <w:sz w:val="24"/>
          <w:szCs w:val="24"/>
          <w:shd w:val="clear" w:color="auto" w:fill="FFFFFF"/>
        </w:rPr>
        <w:t xml:space="preserve"> fait grief à l'arrêt de l'avoir déboutée de ses demandes d'indemnité pour licenciement sans cause réelle et sérieuse </w:t>
      </w:r>
      <w:r w:rsidR="00CD0326">
        <w:rPr>
          <w:rFonts w:ascii="Arial" w:eastAsia="Calibri" w:hAnsi="Arial" w:cs="Arial"/>
          <w:sz w:val="24"/>
          <w:szCs w:val="24"/>
          <w:shd w:val="clear" w:color="auto" w:fill="FFFFFF"/>
        </w:rPr>
        <w:t>[</w:t>
      </w:r>
      <w:r w:rsidRPr="00D45524">
        <w:rPr>
          <w:rFonts w:ascii="Arial" w:eastAsia="Calibri" w:hAnsi="Arial" w:cs="Arial"/>
          <w:sz w:val="24"/>
          <w:szCs w:val="24"/>
          <w:shd w:val="clear" w:color="auto" w:fill="FFFFFF"/>
        </w:rPr>
        <w:t>…</w:t>
      </w:r>
      <w:r w:rsidR="00CD0326">
        <w:rPr>
          <w:rFonts w:ascii="Arial" w:eastAsia="Calibri" w:hAnsi="Arial" w:cs="Arial"/>
          <w:sz w:val="24"/>
          <w:szCs w:val="24"/>
          <w:shd w:val="clear" w:color="auto" w:fill="FFFFFF"/>
        </w:rPr>
        <w:t>]</w:t>
      </w:r>
      <w:r w:rsidRPr="00D45524">
        <w:rPr>
          <w:rFonts w:ascii="Arial" w:eastAsia="Calibri" w:hAnsi="Arial" w:cs="Arial"/>
          <w:sz w:val="24"/>
          <w:szCs w:val="24"/>
          <w:shd w:val="clear" w:color="auto" w:fill="FFFFFF"/>
        </w:rPr>
        <w:t>, alors, selon le moyen :</w:t>
      </w:r>
    </w:p>
    <w:p w14:paraId="50B6229E" w14:textId="5D22792D"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z w:val="24"/>
          <w:szCs w:val="24"/>
          <w:shd w:val="clear" w:color="auto" w:fill="FFFFFF"/>
        </w:rPr>
        <w:t xml:space="preserve">1°/ que pendant la période de chômage partiel, le contrat de travail est suspendu de sorte que le salarié est dispensé de l'exécution de toute prestation de travail, y compris du suivi d'une formation à la demande de l'employeur ; que le refus opposé par un salarié d'exécuter un travail ou de suivre une formation interne pendant cette période ne constitue pas une faute </w:t>
      </w:r>
      <w:r w:rsidR="00CD0326">
        <w:rPr>
          <w:rFonts w:ascii="Arial" w:eastAsia="Calibri" w:hAnsi="Arial" w:cs="Arial"/>
          <w:sz w:val="24"/>
          <w:szCs w:val="24"/>
          <w:shd w:val="clear" w:color="auto" w:fill="FFFFFF"/>
        </w:rPr>
        <w:t>[</w:t>
      </w:r>
      <w:r w:rsidRPr="00D45524">
        <w:rPr>
          <w:rFonts w:ascii="Arial" w:eastAsia="Calibri" w:hAnsi="Arial" w:cs="Arial"/>
          <w:sz w:val="24"/>
          <w:szCs w:val="24"/>
          <w:shd w:val="clear" w:color="auto" w:fill="FFFFFF"/>
        </w:rPr>
        <w:t>…</w:t>
      </w:r>
      <w:proofErr w:type="gramStart"/>
      <w:r w:rsidR="00CD0326">
        <w:rPr>
          <w:rFonts w:ascii="Arial" w:eastAsia="Calibri" w:hAnsi="Arial" w:cs="Arial"/>
          <w:sz w:val="24"/>
          <w:szCs w:val="24"/>
          <w:shd w:val="clear" w:color="auto" w:fill="FFFFFF"/>
        </w:rPr>
        <w:t>]</w:t>
      </w:r>
      <w:r w:rsidRPr="00D45524">
        <w:rPr>
          <w:rFonts w:ascii="Arial" w:eastAsia="Calibri" w:hAnsi="Arial" w:cs="Arial"/>
          <w:sz w:val="24"/>
          <w:szCs w:val="24"/>
          <w:shd w:val="clear" w:color="auto" w:fill="FFFFFF"/>
        </w:rPr>
        <w:t>;</w:t>
      </w:r>
      <w:proofErr w:type="gramEnd"/>
    </w:p>
    <w:p w14:paraId="765AE73B" w14:textId="1A52EFD8"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shd w:val="clear" w:color="auto" w:fill="FFFFFF"/>
        </w:rPr>
      </w:pPr>
      <w:r w:rsidRPr="00D45524">
        <w:rPr>
          <w:rFonts w:ascii="Arial" w:eastAsia="Calibri" w:hAnsi="Arial" w:cs="Arial"/>
          <w:sz w:val="24"/>
          <w:szCs w:val="24"/>
          <w:shd w:val="clear" w:color="auto" w:fill="FFFFFF"/>
        </w:rPr>
        <w:t xml:space="preserve">2°/ que la faute grave se définit comme un fait ou un ensemble de faits imputables au salarié qui constitue une violation des obligations découlant du contrat de travail ou des relations de travail d'une importance telle qu'elle rend impossible le maintien du salarié dans l'entreprise pendant la durée du préavis ; qu'il résulte des constatations des juges du fond que si la salariée avait refusé de suivre la totalité de la formation organisée par son employeur, elle avait néanmoins repris son travail à l'issue de la période prévue pour cette formation afin d'assurer la réouverture de l'hôtel </w:t>
      </w:r>
      <w:r w:rsidR="00CD0326">
        <w:rPr>
          <w:rFonts w:ascii="Arial" w:eastAsia="Calibri" w:hAnsi="Arial" w:cs="Arial"/>
          <w:sz w:val="24"/>
          <w:szCs w:val="24"/>
          <w:shd w:val="clear" w:color="auto" w:fill="FFFFFF"/>
        </w:rPr>
        <w:t>[</w:t>
      </w:r>
      <w:r w:rsidRPr="00D45524">
        <w:rPr>
          <w:rFonts w:ascii="Arial" w:eastAsia="Calibri" w:hAnsi="Arial" w:cs="Arial"/>
          <w:sz w:val="24"/>
          <w:szCs w:val="24"/>
          <w:shd w:val="clear" w:color="auto" w:fill="FFFFFF"/>
        </w:rPr>
        <w:t>…</w:t>
      </w:r>
      <w:r w:rsidR="00CD0326">
        <w:rPr>
          <w:rFonts w:ascii="Arial" w:eastAsia="Calibri" w:hAnsi="Arial" w:cs="Arial"/>
          <w:sz w:val="24"/>
          <w:szCs w:val="24"/>
          <w:shd w:val="clear" w:color="auto" w:fill="FFFFFF"/>
        </w:rPr>
        <w:t>]</w:t>
      </w:r>
      <w:r w:rsidRPr="00D45524">
        <w:rPr>
          <w:rFonts w:ascii="Arial" w:eastAsia="Calibri" w:hAnsi="Arial" w:cs="Arial"/>
          <w:sz w:val="24"/>
          <w:szCs w:val="24"/>
          <w:shd w:val="clear" w:color="auto" w:fill="FFFFFF"/>
        </w:rPr>
        <w:t>.</w:t>
      </w:r>
    </w:p>
    <w:p w14:paraId="1865A87D"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z w:val="24"/>
          <w:szCs w:val="24"/>
          <w:shd w:val="clear" w:color="auto" w:fill="FFFFFF"/>
        </w:rPr>
        <w:t>Mais attendu qu'ayant constaté que la salariée avait interrompu une formation d'adaptation mise en place par son employeur, laquelle, constituant une modalité d'exécution du contrat de travail, avait mis fin à sa suspension, et que, malgré les mises en demeure réitérées de son employeur, la salariée avait persisté dans son refus de réintégrer la formation, a caractérisé l'existence d'un comportement rendant impossible le maintien du salarié dans l'entreprise et constitutif d'une faute grave ;</w:t>
      </w:r>
    </w:p>
    <w:p w14:paraId="0EFD862D"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z w:val="24"/>
          <w:szCs w:val="24"/>
          <w:shd w:val="clear" w:color="auto" w:fill="FFFFFF"/>
        </w:rPr>
        <w:t>D'où il suit que le moyen n'est pas fondé ;</w:t>
      </w:r>
    </w:p>
    <w:p w14:paraId="2F1119C1"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z w:val="24"/>
          <w:szCs w:val="24"/>
          <w:shd w:val="clear" w:color="auto" w:fill="FFFFFF"/>
        </w:rPr>
        <w:t>PAR CES MOTIFS :</w:t>
      </w:r>
    </w:p>
    <w:p w14:paraId="3E15DDCD"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shd w:val="clear" w:color="auto" w:fill="FFFFFF"/>
        </w:rPr>
      </w:pPr>
      <w:r w:rsidRPr="00D45524">
        <w:rPr>
          <w:rFonts w:ascii="Arial" w:eastAsia="Calibri" w:hAnsi="Arial" w:cs="Arial"/>
          <w:sz w:val="24"/>
          <w:szCs w:val="24"/>
          <w:shd w:val="clear" w:color="auto" w:fill="FFFFFF"/>
        </w:rPr>
        <w:t>REJETTE le pourvoi ;</w:t>
      </w:r>
    </w:p>
    <w:p w14:paraId="67EACF65"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shd w:val="clear" w:color="auto" w:fill="FFFFFF"/>
        </w:rPr>
      </w:pPr>
    </w:p>
    <w:p w14:paraId="3623524C"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b/>
          <w:bCs/>
          <w:sz w:val="24"/>
          <w:szCs w:val="24"/>
          <w:u w:val="single"/>
        </w:rPr>
        <w:t>Annexe 4</w:t>
      </w:r>
      <w:r w:rsidRPr="00D45524">
        <w:rPr>
          <w:rFonts w:ascii="Arial" w:eastAsia="Calibri" w:hAnsi="Arial" w:cs="Arial"/>
          <w:b/>
          <w:bCs/>
          <w:sz w:val="24"/>
          <w:szCs w:val="24"/>
        </w:rPr>
        <w:t xml:space="preserve">: Extrait du contrat de travail à durée indéterminée de Joséphine </w:t>
      </w:r>
      <w:r w:rsidR="00EE1EFD">
        <w:rPr>
          <w:rFonts w:ascii="Arial" w:eastAsia="Calibri" w:hAnsi="Arial" w:cs="Arial"/>
          <w:b/>
          <w:bCs/>
          <w:sz w:val="24"/>
          <w:szCs w:val="24"/>
        </w:rPr>
        <w:t>Duval</w:t>
      </w:r>
    </w:p>
    <w:p w14:paraId="04190A13"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08"/>
        <w:jc w:val="both"/>
        <w:rPr>
          <w:rFonts w:ascii="Arial" w:eastAsia="Calibri" w:hAnsi="Arial" w:cs="Arial"/>
          <w:b/>
          <w:bCs/>
          <w:sz w:val="24"/>
          <w:szCs w:val="24"/>
        </w:rPr>
      </w:pPr>
    </w:p>
    <w:p w14:paraId="4FA433EC"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08"/>
        <w:jc w:val="both"/>
        <w:rPr>
          <w:rFonts w:ascii="Arial" w:eastAsia="Calibri" w:hAnsi="Arial" w:cs="Arial"/>
          <w:b/>
          <w:bCs/>
          <w:sz w:val="24"/>
          <w:szCs w:val="24"/>
        </w:rPr>
      </w:pPr>
      <w:r w:rsidRPr="00D45524">
        <w:rPr>
          <w:rFonts w:ascii="Arial" w:eastAsia="Calibri" w:hAnsi="Arial" w:cs="Arial"/>
          <w:b/>
          <w:bCs/>
          <w:sz w:val="24"/>
          <w:szCs w:val="24"/>
        </w:rPr>
        <w:t>ENTRE LES SOUSSIGNÉS :</w:t>
      </w:r>
    </w:p>
    <w:p w14:paraId="6968C756"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z w:val="24"/>
          <w:szCs w:val="24"/>
        </w:rPr>
        <w:t>- SARL UNIPUR, société de ventes de filtrations pour climatisations représentée par sa Directrice des Ressources Humaines, Olivia Clément, d’une part</w:t>
      </w:r>
    </w:p>
    <w:p w14:paraId="73B42FF1"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z w:val="24"/>
          <w:szCs w:val="24"/>
        </w:rPr>
        <w:t xml:space="preserve">-Et Madame </w:t>
      </w:r>
      <w:r w:rsidR="00EE1EFD">
        <w:rPr>
          <w:rFonts w:ascii="Arial" w:eastAsia="Calibri" w:hAnsi="Arial" w:cs="Arial"/>
          <w:sz w:val="24"/>
          <w:szCs w:val="24"/>
        </w:rPr>
        <w:t>Duval</w:t>
      </w:r>
      <w:r w:rsidRPr="00D45524">
        <w:rPr>
          <w:rFonts w:ascii="Arial" w:eastAsia="Calibri" w:hAnsi="Arial" w:cs="Arial"/>
          <w:sz w:val="24"/>
          <w:szCs w:val="24"/>
        </w:rPr>
        <w:t xml:space="preserve"> Joséphine, d’autre part,</w:t>
      </w:r>
    </w:p>
    <w:p w14:paraId="62A01A7F"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p>
    <w:p w14:paraId="33257459"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08"/>
        <w:jc w:val="both"/>
        <w:rPr>
          <w:rFonts w:ascii="Arial" w:eastAsia="Calibri" w:hAnsi="Arial" w:cs="Arial"/>
          <w:b/>
          <w:bCs/>
          <w:sz w:val="24"/>
          <w:szCs w:val="24"/>
        </w:rPr>
      </w:pPr>
      <w:r w:rsidRPr="00D45524">
        <w:rPr>
          <w:rFonts w:ascii="Arial" w:eastAsia="Calibri" w:hAnsi="Arial" w:cs="Arial"/>
          <w:b/>
          <w:bCs/>
          <w:sz w:val="24"/>
          <w:szCs w:val="24"/>
        </w:rPr>
        <w:t>IL A ÉTÉ CONVENU ET ARRÊTÉ CE QUI SUIT :</w:t>
      </w:r>
    </w:p>
    <w:p w14:paraId="3EED37A0"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b/>
          <w:bCs/>
          <w:sz w:val="24"/>
          <w:szCs w:val="24"/>
        </w:rPr>
        <w:t>Article 1</w:t>
      </w:r>
      <w:r w:rsidRPr="00D45524">
        <w:rPr>
          <w:rFonts w:ascii="Arial" w:eastAsia="Calibri" w:hAnsi="Arial" w:cs="Arial"/>
          <w:b/>
          <w:bCs/>
          <w:sz w:val="24"/>
          <w:szCs w:val="24"/>
          <w:vertAlign w:val="superscript"/>
        </w:rPr>
        <w:t>er</w:t>
      </w:r>
      <w:r w:rsidRPr="00D45524">
        <w:rPr>
          <w:rFonts w:ascii="Arial" w:eastAsia="Calibri" w:hAnsi="Arial" w:cs="Arial"/>
          <w:b/>
          <w:bCs/>
          <w:sz w:val="24"/>
          <w:szCs w:val="24"/>
        </w:rPr>
        <w:t> :</w:t>
      </w:r>
      <w:r w:rsidRPr="00D45524">
        <w:rPr>
          <w:rFonts w:ascii="Arial" w:eastAsia="Calibri" w:hAnsi="Arial" w:cs="Arial"/>
          <w:sz w:val="24"/>
          <w:szCs w:val="24"/>
        </w:rPr>
        <w:t xml:space="preserve"> Embauche, qualification</w:t>
      </w:r>
    </w:p>
    <w:p w14:paraId="2D7BBEEE" w14:textId="08046138"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z w:val="24"/>
          <w:szCs w:val="24"/>
        </w:rPr>
        <w:t xml:space="preserve">Madame </w:t>
      </w:r>
      <w:r w:rsidR="00EE1EFD">
        <w:rPr>
          <w:rFonts w:ascii="Arial" w:eastAsia="Calibri" w:hAnsi="Arial" w:cs="Arial"/>
          <w:sz w:val="24"/>
          <w:szCs w:val="24"/>
        </w:rPr>
        <w:t>Duval</w:t>
      </w:r>
      <w:r w:rsidRPr="00D45524">
        <w:rPr>
          <w:rFonts w:ascii="Arial" w:eastAsia="Calibri" w:hAnsi="Arial" w:cs="Arial"/>
          <w:sz w:val="24"/>
          <w:szCs w:val="24"/>
        </w:rPr>
        <w:t xml:space="preserve"> est embauchée en tant que développeur commercial niveau 2</w:t>
      </w:r>
      <w:r w:rsidR="004E3AEA">
        <w:rPr>
          <w:rFonts w:ascii="Arial" w:eastAsia="Calibri" w:hAnsi="Arial" w:cs="Arial"/>
          <w:sz w:val="24"/>
          <w:szCs w:val="24"/>
        </w:rPr>
        <w:t>.</w:t>
      </w:r>
    </w:p>
    <w:p w14:paraId="7F588713" w14:textId="77777777" w:rsidR="00EE1EFD" w:rsidRDefault="00EE1EFD">
      <w:pPr>
        <w:rPr>
          <w:rFonts w:ascii="Arial" w:eastAsia="Calibri" w:hAnsi="Arial" w:cs="Arial"/>
          <w:b/>
          <w:bCs/>
          <w:sz w:val="24"/>
          <w:szCs w:val="24"/>
        </w:rPr>
      </w:pPr>
      <w:r>
        <w:rPr>
          <w:rFonts w:ascii="Arial" w:eastAsia="Calibri" w:hAnsi="Arial" w:cs="Arial"/>
          <w:b/>
          <w:bCs/>
          <w:sz w:val="24"/>
          <w:szCs w:val="24"/>
        </w:rPr>
        <w:br w:type="page"/>
      </w:r>
    </w:p>
    <w:p w14:paraId="0242E336" w14:textId="77777777" w:rsidR="00D45524" w:rsidRP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b/>
          <w:bCs/>
          <w:sz w:val="24"/>
          <w:szCs w:val="24"/>
        </w:rPr>
        <w:lastRenderedPageBreak/>
        <w:t>Article 2:</w:t>
      </w:r>
      <w:r w:rsidRPr="00D45524">
        <w:rPr>
          <w:rFonts w:ascii="Arial" w:eastAsia="Calibri" w:hAnsi="Arial" w:cs="Arial"/>
          <w:sz w:val="24"/>
          <w:szCs w:val="24"/>
        </w:rPr>
        <w:t xml:space="preserve"> Rémunération</w:t>
      </w:r>
    </w:p>
    <w:p w14:paraId="5B13331B" w14:textId="7AC7FC8B" w:rsidR="00D45524" w:rsidRDefault="00D45524"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D45524">
        <w:rPr>
          <w:rFonts w:ascii="Arial" w:eastAsia="Calibri" w:hAnsi="Arial" w:cs="Arial"/>
          <w:sz w:val="24"/>
          <w:szCs w:val="24"/>
        </w:rPr>
        <w:t xml:space="preserve">Madame </w:t>
      </w:r>
      <w:r w:rsidR="00EE1EFD">
        <w:rPr>
          <w:rFonts w:ascii="Arial" w:eastAsia="Calibri" w:hAnsi="Arial" w:cs="Arial"/>
          <w:sz w:val="24"/>
          <w:szCs w:val="24"/>
        </w:rPr>
        <w:t>Duval</w:t>
      </w:r>
      <w:r w:rsidRPr="00D45524">
        <w:rPr>
          <w:rFonts w:ascii="Arial" w:eastAsia="Calibri" w:hAnsi="Arial" w:cs="Arial"/>
          <w:sz w:val="24"/>
          <w:szCs w:val="24"/>
        </w:rPr>
        <w:t xml:space="preserve"> percevra un salaire brut mensuel de 3 000 euros auquel s’ajoutera des commissions définies selon le plan de commissions annexé et revu au mois de janvier de chaque année. </w:t>
      </w:r>
    </w:p>
    <w:p w14:paraId="653060D9" w14:textId="49B0411D" w:rsidR="00CD0326" w:rsidRPr="00D45524" w:rsidRDefault="00CD0326" w:rsidP="00D4552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Pr>
          <w:rFonts w:ascii="Arial" w:eastAsia="Calibri" w:hAnsi="Arial" w:cs="Arial"/>
          <w:sz w:val="24"/>
          <w:szCs w:val="24"/>
        </w:rPr>
        <w:t>[…]</w:t>
      </w:r>
    </w:p>
    <w:p w14:paraId="30A48697" w14:textId="77777777" w:rsidR="00D45524" w:rsidRDefault="00D45524" w:rsidP="00D45524">
      <w:pPr>
        <w:rPr>
          <w:rFonts w:ascii="Arial" w:hAnsi="Arial" w:cs="Arial"/>
          <w:b/>
          <w:sz w:val="28"/>
        </w:rPr>
      </w:pPr>
      <w:r w:rsidRPr="00D45524">
        <w:rPr>
          <w:rFonts w:ascii="Arial" w:eastAsia="Calibri" w:hAnsi="Arial" w:cs="Arial"/>
          <w:b/>
          <w:bCs/>
          <w:sz w:val="24"/>
          <w:szCs w:val="24"/>
        </w:rPr>
        <w:t xml:space="preserve">Article </w:t>
      </w:r>
      <w:proofErr w:type="gramStart"/>
      <w:r w:rsidRPr="00D45524">
        <w:rPr>
          <w:rFonts w:ascii="Arial" w:eastAsia="Calibri" w:hAnsi="Arial" w:cs="Arial"/>
          <w:b/>
          <w:bCs/>
          <w:sz w:val="24"/>
          <w:szCs w:val="24"/>
        </w:rPr>
        <w:t>6:</w:t>
      </w:r>
      <w:proofErr w:type="gramEnd"/>
      <w:r w:rsidRPr="00D45524">
        <w:rPr>
          <w:rFonts w:ascii="Arial" w:eastAsia="Calibri" w:hAnsi="Arial" w:cs="Arial"/>
          <w:sz w:val="24"/>
          <w:szCs w:val="24"/>
        </w:rPr>
        <w:t xml:space="preserve"> L’employeur s’engage à proposer à la salariée des formations destinées à l’acquisition des compétences techniques liées à l’activité de l’entreprise conformément à l’articles </w:t>
      </w:r>
      <w:r w:rsidRPr="00D45524">
        <w:rPr>
          <w:rFonts w:ascii="Arial" w:eastAsia="Times New Roman" w:hAnsi="Arial" w:cs="Arial"/>
          <w:color w:val="000000"/>
          <w:sz w:val="24"/>
          <w:szCs w:val="24"/>
          <w:lang w:eastAsia="fr-FR"/>
        </w:rPr>
        <w:t>L6321-1 et suivant du Code du travail. La salariée s’engage à suivre les formations proposées par son employeur.</w:t>
      </w:r>
    </w:p>
    <w:p w14:paraId="32CC15D0" w14:textId="77777777" w:rsidR="00D45524" w:rsidRDefault="00D45524" w:rsidP="00D45524">
      <w:pPr>
        <w:rPr>
          <w:rFonts w:ascii="Arial" w:hAnsi="Arial" w:cs="Arial"/>
          <w:b/>
          <w:bCs/>
          <w:sz w:val="28"/>
          <w:szCs w:val="28"/>
        </w:rPr>
      </w:pPr>
    </w:p>
    <w:p w14:paraId="5A6DA6ED" w14:textId="77777777" w:rsidR="00D45524" w:rsidRDefault="00D45524" w:rsidP="00D45524">
      <w:pPr>
        <w:rPr>
          <w:rFonts w:ascii="Arial" w:hAnsi="Arial" w:cs="Arial"/>
          <w:b/>
          <w:bCs/>
          <w:sz w:val="28"/>
          <w:szCs w:val="28"/>
        </w:rPr>
      </w:pPr>
      <w:r>
        <w:rPr>
          <w:rFonts w:ascii="Arial" w:hAnsi="Arial" w:cs="Arial"/>
          <w:b/>
          <w:bCs/>
          <w:sz w:val="28"/>
          <w:szCs w:val="28"/>
        </w:rPr>
        <w:br w:type="page"/>
      </w:r>
    </w:p>
    <w:p w14:paraId="3BA9AE2F" w14:textId="77777777" w:rsidR="00D45524" w:rsidRDefault="00D45524" w:rsidP="00D45524">
      <w:pPr>
        <w:rPr>
          <w:rFonts w:ascii="Arial" w:hAnsi="Arial" w:cs="Arial"/>
          <w:b/>
          <w:bCs/>
          <w:sz w:val="28"/>
          <w:szCs w:val="28"/>
        </w:rPr>
      </w:pPr>
      <w:r>
        <w:rPr>
          <w:rFonts w:ascii="Arial" w:hAnsi="Arial" w:cs="Arial"/>
          <w:b/>
          <w:bCs/>
          <w:sz w:val="28"/>
          <w:szCs w:val="28"/>
        </w:rPr>
        <w:lastRenderedPageBreak/>
        <w:t>SUJET</w:t>
      </w:r>
      <w:r w:rsidRPr="00EF6D68">
        <w:rPr>
          <w:rFonts w:ascii="Arial" w:hAnsi="Arial" w:cs="Arial"/>
          <w:b/>
          <w:bCs/>
          <w:sz w:val="28"/>
          <w:szCs w:val="28"/>
        </w:rPr>
        <w:t xml:space="preserve"> 2 </w:t>
      </w:r>
    </w:p>
    <w:p w14:paraId="778C23FA" w14:textId="77777777" w:rsidR="00D45524" w:rsidRPr="00D45524" w:rsidRDefault="00D45524" w:rsidP="00D45524">
      <w:pPr>
        <w:widowControl w:val="0"/>
        <w:autoSpaceDE w:val="0"/>
        <w:autoSpaceDN w:val="0"/>
        <w:spacing w:before="120" w:after="120" w:line="240" w:lineRule="auto"/>
        <w:jc w:val="both"/>
        <w:rPr>
          <w:rFonts w:ascii="Arial" w:eastAsia="Arial" w:hAnsi="Arial" w:cs="Arial"/>
          <w:b/>
          <w:bCs/>
          <w:sz w:val="24"/>
          <w:szCs w:val="24"/>
          <w:lang w:eastAsia="fr-FR" w:bidi="fr-FR"/>
        </w:rPr>
      </w:pPr>
      <w:r w:rsidRPr="00D45524">
        <w:rPr>
          <w:rFonts w:ascii="Arial" w:eastAsia="Arial" w:hAnsi="Arial" w:cs="Arial"/>
          <w:b/>
          <w:bCs/>
          <w:sz w:val="24"/>
          <w:szCs w:val="24"/>
          <w:lang w:eastAsia="fr-FR" w:bidi="fr-FR"/>
        </w:rPr>
        <w:t>À l’aide de vos connaissances et des ressources documentaires jointes en annexes numérotées de 1 à 4, analysez la situation juridique ci-dessous et répondez aux questions posées.</w:t>
      </w:r>
    </w:p>
    <w:p w14:paraId="564D2508" w14:textId="77777777" w:rsidR="00D45524" w:rsidRPr="00D45524" w:rsidRDefault="00D45524" w:rsidP="00D45524">
      <w:pPr>
        <w:widowControl w:val="0"/>
        <w:autoSpaceDE w:val="0"/>
        <w:autoSpaceDN w:val="0"/>
        <w:spacing w:before="7" w:after="0" w:line="240" w:lineRule="auto"/>
        <w:jc w:val="both"/>
        <w:rPr>
          <w:rFonts w:ascii="Arial" w:eastAsia="Arial" w:hAnsi="Arial" w:cs="Arial"/>
          <w:sz w:val="24"/>
          <w:szCs w:val="24"/>
          <w:lang w:eastAsia="fr-FR" w:bidi="fr-FR"/>
        </w:rPr>
      </w:pPr>
    </w:p>
    <w:p w14:paraId="68927D72" w14:textId="77777777" w:rsidR="00D45524" w:rsidRPr="00D45524" w:rsidRDefault="00D45524" w:rsidP="00D45524">
      <w:pPr>
        <w:widowControl w:val="0"/>
        <w:autoSpaceDE w:val="0"/>
        <w:autoSpaceDN w:val="0"/>
        <w:spacing w:before="120" w:after="120" w:line="240" w:lineRule="auto"/>
        <w:jc w:val="both"/>
        <w:rPr>
          <w:rFonts w:ascii="Arial" w:eastAsia="Arial" w:hAnsi="Arial" w:cs="Arial"/>
          <w:b/>
          <w:sz w:val="24"/>
          <w:szCs w:val="24"/>
          <w:lang w:eastAsia="fr-FR" w:bidi="fr-FR"/>
        </w:rPr>
      </w:pPr>
      <w:r w:rsidRPr="00D45524">
        <w:rPr>
          <w:rFonts w:ascii="Arial" w:eastAsia="Arial" w:hAnsi="Arial" w:cs="Arial"/>
          <w:b/>
          <w:sz w:val="24"/>
          <w:szCs w:val="24"/>
          <w:lang w:eastAsia="fr-FR" w:bidi="fr-FR"/>
        </w:rPr>
        <w:t>Situation juridique</w:t>
      </w:r>
    </w:p>
    <w:p w14:paraId="56E35A93" w14:textId="7790EE45"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sz w:val="24"/>
          <w:szCs w:val="24"/>
          <w:lang w:eastAsia="fr-FR"/>
        </w:rPr>
        <w:t>Claire Vidal, 16 ans</w:t>
      </w:r>
      <w:r w:rsidR="00CD0326">
        <w:rPr>
          <w:rFonts w:ascii="Arial" w:eastAsia="Times New Roman" w:hAnsi="Arial" w:cs="Arial"/>
          <w:sz w:val="24"/>
          <w:szCs w:val="24"/>
          <w:lang w:eastAsia="fr-FR"/>
        </w:rPr>
        <w:t>,</w:t>
      </w:r>
      <w:r w:rsidRPr="00D45524">
        <w:rPr>
          <w:rFonts w:ascii="Arial" w:eastAsia="Times New Roman" w:hAnsi="Arial" w:cs="Arial"/>
          <w:sz w:val="24"/>
          <w:szCs w:val="24"/>
          <w:lang w:eastAsia="fr-FR"/>
        </w:rPr>
        <w:t xml:space="preserve"> et sa sœur Marie, 11 ans</w:t>
      </w:r>
      <w:r w:rsidR="00CD0326">
        <w:rPr>
          <w:rFonts w:ascii="Arial" w:eastAsia="Times New Roman" w:hAnsi="Arial" w:cs="Arial"/>
          <w:sz w:val="24"/>
          <w:szCs w:val="24"/>
          <w:lang w:eastAsia="fr-FR"/>
        </w:rPr>
        <w:t>,</w:t>
      </w:r>
      <w:r w:rsidRPr="00D45524">
        <w:rPr>
          <w:rFonts w:ascii="Arial" w:eastAsia="Times New Roman" w:hAnsi="Arial" w:cs="Arial"/>
          <w:sz w:val="24"/>
          <w:szCs w:val="24"/>
          <w:lang w:eastAsia="fr-FR"/>
        </w:rPr>
        <w:t xml:space="preserve"> souhaitent profiter de leur samedi après-midi pour se promener et faire les boutiques en ville.</w:t>
      </w:r>
    </w:p>
    <w:p w14:paraId="6B16A346" w14:textId="323C4DDF"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sz w:val="24"/>
          <w:szCs w:val="24"/>
          <w:lang w:eastAsia="fr-FR"/>
        </w:rPr>
        <w:t>Leurs parents acceptent</w:t>
      </w:r>
      <w:r w:rsidR="00A1304D">
        <w:rPr>
          <w:rFonts w:ascii="Arial" w:eastAsia="Times New Roman" w:hAnsi="Arial" w:cs="Arial"/>
          <w:sz w:val="24"/>
          <w:szCs w:val="24"/>
          <w:lang w:eastAsia="fr-FR"/>
        </w:rPr>
        <w:t>,</w:t>
      </w:r>
      <w:r w:rsidRPr="00D45524">
        <w:rPr>
          <w:rFonts w:ascii="Arial" w:eastAsia="Times New Roman" w:hAnsi="Arial" w:cs="Arial"/>
          <w:sz w:val="24"/>
          <w:szCs w:val="24"/>
          <w:lang w:eastAsia="fr-FR"/>
        </w:rPr>
        <w:t xml:space="preserve"> à condition qu’elles emmènent avec elles leur petite sœur de 8 mois</w:t>
      </w:r>
      <w:r w:rsidR="00CD0326">
        <w:rPr>
          <w:rFonts w:ascii="Arial" w:eastAsia="Times New Roman" w:hAnsi="Arial" w:cs="Arial"/>
          <w:sz w:val="24"/>
          <w:szCs w:val="24"/>
          <w:lang w:eastAsia="fr-FR"/>
        </w:rPr>
        <w:t>, Juliette,</w:t>
      </w:r>
      <w:r w:rsidRPr="00D45524">
        <w:rPr>
          <w:rFonts w:ascii="Arial" w:eastAsia="Times New Roman" w:hAnsi="Arial" w:cs="Arial"/>
          <w:sz w:val="24"/>
          <w:szCs w:val="24"/>
          <w:lang w:eastAsia="fr-FR"/>
        </w:rPr>
        <w:t xml:space="preserve"> et que ce soit l’ainée, Claire, qui tienne la poussette.</w:t>
      </w:r>
    </w:p>
    <w:p w14:paraId="5E82A785"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sz w:val="24"/>
          <w:szCs w:val="24"/>
          <w:lang w:eastAsia="fr-FR"/>
        </w:rPr>
        <w:t>Marie prend très à cœur son rôle de grande sœur. Une fois partie de la maison, elle supplie Claire d’accepter de lui confier la poussette dans laquelle dort sa sœur. Devant l’insistance de Marie, Claire accepte.</w:t>
      </w:r>
    </w:p>
    <w:p w14:paraId="55617328"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sz w:val="24"/>
          <w:szCs w:val="24"/>
          <w:lang w:eastAsia="fr-FR"/>
        </w:rPr>
        <w:t>Au bout d’un certain temps, Juliette se révei</w:t>
      </w:r>
      <w:r w:rsidR="00EE1EFD">
        <w:rPr>
          <w:rFonts w:ascii="Arial" w:eastAsia="Times New Roman" w:hAnsi="Arial" w:cs="Arial"/>
          <w:sz w:val="24"/>
          <w:szCs w:val="24"/>
          <w:lang w:eastAsia="fr-FR"/>
        </w:rPr>
        <w:t>lle et se met à pleurer. Claire</w:t>
      </w:r>
      <w:r w:rsidRPr="00D45524">
        <w:rPr>
          <w:rFonts w:ascii="Arial" w:eastAsia="Times New Roman" w:hAnsi="Arial" w:cs="Arial"/>
          <w:sz w:val="24"/>
          <w:szCs w:val="24"/>
          <w:lang w:eastAsia="fr-FR"/>
        </w:rPr>
        <w:t xml:space="preserve"> la sort de la poussette et la prend alors dans les bras afin de la calmer.</w:t>
      </w:r>
    </w:p>
    <w:p w14:paraId="168B9735"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sz w:val="24"/>
          <w:szCs w:val="24"/>
          <w:lang w:eastAsia="fr-FR"/>
        </w:rPr>
        <w:t>Marie qui tient toujours la poussette, entend soudainement une voix qui crie son prénom. Elle se retourne afin de voir qui l’appelle et ce faisant, elle lâche malencontreusement la poussette. Celle-ci se met à dévaler le trottoir qui descend vers un square et percute un cycliste, Jean Palain</w:t>
      </w:r>
      <w:r w:rsidR="00EE1EFD">
        <w:rPr>
          <w:rFonts w:ascii="Arial" w:eastAsia="Times New Roman" w:hAnsi="Arial" w:cs="Arial"/>
          <w:sz w:val="24"/>
          <w:szCs w:val="24"/>
          <w:lang w:eastAsia="fr-FR"/>
        </w:rPr>
        <w:t>,</w:t>
      </w:r>
      <w:r w:rsidRPr="00D45524">
        <w:rPr>
          <w:rFonts w:ascii="Arial" w:eastAsia="Times New Roman" w:hAnsi="Arial" w:cs="Arial"/>
          <w:sz w:val="24"/>
          <w:szCs w:val="24"/>
          <w:lang w:eastAsia="fr-FR"/>
        </w:rPr>
        <w:t xml:space="preserve"> qui chute sur le trottoir. </w:t>
      </w:r>
    </w:p>
    <w:p w14:paraId="04347F49" w14:textId="77777777" w:rsidR="00D45524" w:rsidRPr="00D45524" w:rsidRDefault="00D45524" w:rsidP="00D45524">
      <w:pPr>
        <w:tabs>
          <w:tab w:val="left" w:pos="8789"/>
        </w:tabs>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sz w:val="24"/>
          <w:szCs w:val="24"/>
          <w:lang w:eastAsia="fr-FR"/>
        </w:rPr>
        <w:t>En effet à 80 ans passés, s’il apprécie particulièrement de rouler en vélo, Jean Palain est effrayé par les voitures qui le frôle</w:t>
      </w:r>
      <w:r w:rsidR="00EE1EFD">
        <w:rPr>
          <w:rFonts w:ascii="Arial" w:eastAsia="Times New Roman" w:hAnsi="Arial" w:cs="Arial"/>
          <w:sz w:val="24"/>
          <w:szCs w:val="24"/>
          <w:lang w:eastAsia="fr-FR"/>
        </w:rPr>
        <w:t>nt</w:t>
      </w:r>
      <w:r w:rsidRPr="00D45524">
        <w:rPr>
          <w:rFonts w:ascii="Arial" w:eastAsia="Times New Roman" w:hAnsi="Arial" w:cs="Arial"/>
          <w:sz w:val="24"/>
          <w:szCs w:val="24"/>
          <w:lang w:eastAsia="fr-FR"/>
        </w:rPr>
        <w:t xml:space="preserve"> lorsqu’il est sur la route. Il a ainsi pris l’habitude de rouler sur le trottoir afin de se protéger. </w:t>
      </w:r>
    </w:p>
    <w:p w14:paraId="6D03BB61"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sz w:val="24"/>
          <w:szCs w:val="24"/>
          <w:lang w:eastAsia="fr-FR"/>
        </w:rPr>
        <w:t>Suite à la collision avec la poussette lâchée par Marie, Jean Palain chute et se blesse. Une fois arrivé à l’hôpital, les médecins lui annoncent que sa clavicule est cassée. Par ailleurs, son vélo, auquel il tenait beaucoup, est hors d’usage.</w:t>
      </w:r>
    </w:p>
    <w:p w14:paraId="43386A5B"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sz w:val="24"/>
          <w:szCs w:val="24"/>
          <w:lang w:eastAsia="fr-FR"/>
        </w:rPr>
        <w:t>Très embêté, Jean Palain vous demande conseil.</w:t>
      </w:r>
    </w:p>
    <w:p w14:paraId="6654F11C"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p>
    <w:p w14:paraId="63B2A705" w14:textId="77777777" w:rsidR="00D45524" w:rsidRPr="00D45524" w:rsidRDefault="00D45524" w:rsidP="00D45524">
      <w:pPr>
        <w:spacing w:before="120" w:after="120" w:line="240" w:lineRule="auto"/>
        <w:jc w:val="both"/>
        <w:rPr>
          <w:rFonts w:ascii="Arial" w:eastAsia="Times New Roman" w:hAnsi="Arial" w:cs="Arial"/>
          <w:sz w:val="24"/>
          <w:szCs w:val="24"/>
          <w:lang w:eastAsia="zh-CN"/>
        </w:rPr>
      </w:pPr>
      <w:r w:rsidRPr="00D45524">
        <w:rPr>
          <w:rFonts w:ascii="Arial" w:eastAsia="Times New Roman" w:hAnsi="Arial" w:cs="Arial"/>
          <w:b/>
          <w:sz w:val="24"/>
          <w:szCs w:val="24"/>
          <w:lang w:eastAsia="zh-CN"/>
        </w:rPr>
        <w:t>Questions</w:t>
      </w:r>
      <w:r w:rsidRPr="00D45524">
        <w:rPr>
          <w:rFonts w:ascii="Arial" w:eastAsia="Times New Roman" w:hAnsi="Arial" w:cs="Arial"/>
          <w:sz w:val="24"/>
          <w:szCs w:val="24"/>
          <w:lang w:eastAsia="zh-CN"/>
        </w:rPr>
        <w:t xml:space="preserve"> :</w:t>
      </w:r>
    </w:p>
    <w:p w14:paraId="57BE6194" w14:textId="1EA73099" w:rsidR="00D45524" w:rsidRPr="00DA6177" w:rsidRDefault="00D45524" w:rsidP="00DA6177">
      <w:pPr>
        <w:pStyle w:val="Paragraphedeliste"/>
        <w:numPr>
          <w:ilvl w:val="0"/>
          <w:numId w:val="1"/>
        </w:numPr>
        <w:spacing w:before="120" w:after="120" w:line="240" w:lineRule="auto"/>
        <w:jc w:val="both"/>
        <w:rPr>
          <w:rFonts w:ascii="Arial" w:eastAsia="Times New Roman" w:hAnsi="Arial" w:cs="Arial"/>
          <w:b/>
          <w:sz w:val="24"/>
          <w:szCs w:val="24"/>
          <w:lang w:eastAsia="zh-CN"/>
        </w:rPr>
      </w:pPr>
      <w:r w:rsidRPr="00DA6177">
        <w:rPr>
          <w:rFonts w:ascii="Arial" w:eastAsia="Times New Roman" w:hAnsi="Arial" w:cs="Arial"/>
          <w:b/>
          <w:sz w:val="24"/>
          <w:szCs w:val="24"/>
          <w:lang w:eastAsia="zh-CN"/>
        </w:rPr>
        <w:t>Résumez les faits en utilisant des qualifications juridiques.</w:t>
      </w:r>
    </w:p>
    <w:p w14:paraId="3DB240C9" w14:textId="05CAAC6D" w:rsidR="00D45524" w:rsidRPr="00D45524" w:rsidRDefault="00D45524" w:rsidP="00D45524">
      <w:pPr>
        <w:numPr>
          <w:ilvl w:val="0"/>
          <w:numId w:val="1"/>
        </w:numPr>
        <w:spacing w:before="120" w:after="120" w:line="240" w:lineRule="auto"/>
        <w:jc w:val="both"/>
        <w:rPr>
          <w:rFonts w:ascii="Arial" w:eastAsia="Times New Roman" w:hAnsi="Arial" w:cs="Arial"/>
          <w:b/>
          <w:sz w:val="24"/>
          <w:szCs w:val="24"/>
          <w:lang w:eastAsia="zh-CN"/>
        </w:rPr>
      </w:pPr>
      <w:r w:rsidRPr="00D45524">
        <w:rPr>
          <w:rFonts w:ascii="Arial" w:eastAsia="Times New Roman" w:hAnsi="Arial" w:cs="Arial"/>
          <w:b/>
          <w:sz w:val="24"/>
          <w:szCs w:val="24"/>
          <w:lang w:eastAsia="zh-CN"/>
        </w:rPr>
        <w:t>Déterminez si la loi du 5 juillet 1985 s’applique au cas d’espèce</w:t>
      </w:r>
      <w:r w:rsidR="00CD0326">
        <w:rPr>
          <w:rFonts w:ascii="Arial" w:eastAsia="Times New Roman" w:hAnsi="Arial" w:cs="Arial"/>
          <w:b/>
          <w:sz w:val="24"/>
          <w:szCs w:val="24"/>
          <w:lang w:eastAsia="zh-CN"/>
        </w:rPr>
        <w:t>.</w:t>
      </w:r>
    </w:p>
    <w:p w14:paraId="7A6C2693" w14:textId="4B457663" w:rsidR="00D45524" w:rsidRPr="00D45524" w:rsidRDefault="00D45524" w:rsidP="00D45524">
      <w:pPr>
        <w:numPr>
          <w:ilvl w:val="0"/>
          <w:numId w:val="1"/>
        </w:numPr>
        <w:spacing w:before="120" w:after="120" w:line="240" w:lineRule="auto"/>
        <w:jc w:val="both"/>
        <w:rPr>
          <w:rFonts w:ascii="Arial" w:eastAsia="Times New Roman" w:hAnsi="Arial" w:cs="Arial"/>
          <w:b/>
          <w:sz w:val="24"/>
          <w:szCs w:val="24"/>
        </w:rPr>
      </w:pPr>
      <w:r w:rsidRPr="00D45524">
        <w:rPr>
          <w:rFonts w:ascii="Arial" w:eastAsia="Times New Roman" w:hAnsi="Arial" w:cs="Arial"/>
          <w:b/>
          <w:sz w:val="24"/>
          <w:szCs w:val="24"/>
        </w:rPr>
        <w:t>Développez l’argumentation juridique que Jean Palain peut avancer pour obtenir réparation de son préjudice</w:t>
      </w:r>
      <w:r w:rsidR="00CD0326">
        <w:rPr>
          <w:rFonts w:ascii="Arial" w:eastAsia="Times New Roman" w:hAnsi="Arial" w:cs="Arial"/>
          <w:b/>
          <w:sz w:val="24"/>
          <w:szCs w:val="24"/>
        </w:rPr>
        <w:t>.</w:t>
      </w:r>
    </w:p>
    <w:p w14:paraId="2210C127" w14:textId="77777777" w:rsidR="00D45524" w:rsidRPr="00D45524" w:rsidRDefault="00D45524" w:rsidP="00D45524">
      <w:pPr>
        <w:numPr>
          <w:ilvl w:val="0"/>
          <w:numId w:val="1"/>
        </w:numPr>
        <w:spacing w:before="120" w:after="120" w:line="240" w:lineRule="auto"/>
        <w:jc w:val="both"/>
        <w:rPr>
          <w:rFonts w:ascii="Arial" w:eastAsia="Times New Roman" w:hAnsi="Arial" w:cs="Arial"/>
          <w:b/>
          <w:sz w:val="24"/>
          <w:szCs w:val="24"/>
        </w:rPr>
      </w:pPr>
      <w:r w:rsidRPr="00D45524">
        <w:rPr>
          <w:rFonts w:ascii="Arial" w:eastAsia="Times New Roman" w:hAnsi="Arial" w:cs="Arial"/>
          <w:b/>
          <w:sz w:val="24"/>
          <w:szCs w:val="24"/>
        </w:rPr>
        <w:t>Développez l’argumentation juridique que la famille Vidal pourrait lui opposer.</w:t>
      </w:r>
    </w:p>
    <w:p w14:paraId="77CEB06F" w14:textId="77777777" w:rsidR="00D45524" w:rsidRPr="00D45524" w:rsidRDefault="00D45524" w:rsidP="00D45524">
      <w:pPr>
        <w:numPr>
          <w:ilvl w:val="0"/>
          <w:numId w:val="1"/>
        </w:numPr>
        <w:spacing w:before="120" w:after="120" w:line="240" w:lineRule="auto"/>
        <w:jc w:val="both"/>
        <w:rPr>
          <w:rFonts w:ascii="Arial" w:eastAsia="Times New Roman" w:hAnsi="Arial" w:cs="Arial"/>
          <w:b/>
          <w:sz w:val="24"/>
          <w:szCs w:val="24"/>
        </w:rPr>
      </w:pPr>
      <w:r w:rsidRPr="00D45524">
        <w:rPr>
          <w:rFonts w:ascii="Arial" w:eastAsia="Times New Roman" w:hAnsi="Arial" w:cs="Arial"/>
          <w:b/>
          <w:sz w:val="24"/>
          <w:szCs w:val="24"/>
        </w:rPr>
        <w:t>Justifiez l’intérêt de la diversité des régimes de responsabilité civile.</w:t>
      </w:r>
    </w:p>
    <w:p w14:paraId="4F53862A" w14:textId="77777777" w:rsidR="00D45524" w:rsidRPr="00D45524" w:rsidRDefault="00D45524" w:rsidP="00D45524">
      <w:pPr>
        <w:spacing w:before="120" w:after="120" w:line="240" w:lineRule="auto"/>
        <w:jc w:val="both"/>
        <w:rPr>
          <w:rFonts w:ascii="Arial" w:eastAsia="Times New Roman" w:hAnsi="Arial" w:cs="Arial"/>
          <w:b/>
          <w:sz w:val="24"/>
          <w:szCs w:val="24"/>
        </w:rPr>
      </w:pPr>
    </w:p>
    <w:p w14:paraId="524ECC34" w14:textId="77777777" w:rsidR="00D45524" w:rsidRPr="00D45524" w:rsidRDefault="00D45524" w:rsidP="00D45524">
      <w:pPr>
        <w:spacing w:after="0" w:line="240" w:lineRule="auto"/>
        <w:rPr>
          <w:rFonts w:ascii="Arial" w:eastAsia="Times New Roman" w:hAnsi="Arial" w:cs="Arial"/>
          <w:b/>
          <w:bCs/>
          <w:sz w:val="24"/>
          <w:szCs w:val="24"/>
          <w:lang w:eastAsia="zh-CN"/>
        </w:rPr>
      </w:pPr>
      <w:r w:rsidRPr="00D45524">
        <w:rPr>
          <w:rFonts w:ascii="Arial" w:eastAsia="Times New Roman" w:hAnsi="Arial" w:cs="Arial"/>
          <w:b/>
          <w:bCs/>
          <w:sz w:val="24"/>
          <w:szCs w:val="24"/>
          <w:lang w:eastAsia="zh-CN"/>
        </w:rPr>
        <w:br w:type="page"/>
      </w:r>
    </w:p>
    <w:p w14:paraId="33FCC3A7" w14:textId="77777777" w:rsidR="00D45524" w:rsidRPr="00D45524" w:rsidRDefault="00D45524" w:rsidP="00D45524">
      <w:pPr>
        <w:spacing w:before="120" w:after="120" w:line="240" w:lineRule="auto"/>
        <w:jc w:val="both"/>
        <w:outlineLvl w:val="0"/>
        <w:rPr>
          <w:rFonts w:ascii="Arial" w:eastAsia="Times New Roman" w:hAnsi="Arial" w:cs="Arial"/>
          <w:b/>
          <w:bCs/>
          <w:sz w:val="24"/>
          <w:szCs w:val="24"/>
          <w:lang w:eastAsia="zh-CN"/>
        </w:rPr>
      </w:pPr>
      <w:r w:rsidRPr="00D45524">
        <w:rPr>
          <w:rFonts w:ascii="Arial" w:eastAsia="Times New Roman" w:hAnsi="Arial" w:cs="Arial"/>
          <w:b/>
          <w:bCs/>
          <w:sz w:val="24"/>
          <w:szCs w:val="24"/>
          <w:u w:val="single"/>
          <w:lang w:eastAsia="zh-CN"/>
        </w:rPr>
        <w:lastRenderedPageBreak/>
        <w:t>Annexe 1</w:t>
      </w:r>
      <w:r w:rsidRPr="00D45524">
        <w:rPr>
          <w:rFonts w:ascii="Arial" w:eastAsia="Times New Roman" w:hAnsi="Arial" w:cs="Arial"/>
          <w:b/>
          <w:bCs/>
          <w:sz w:val="24"/>
          <w:szCs w:val="24"/>
          <w:lang w:eastAsia="zh-CN"/>
        </w:rPr>
        <w:t>: articles du Code civil</w:t>
      </w:r>
    </w:p>
    <w:p w14:paraId="02EAB291"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b/>
          <w:bCs/>
          <w:sz w:val="24"/>
          <w:szCs w:val="24"/>
          <w:lang w:eastAsia="fr-FR"/>
        </w:rPr>
        <w:t>Article 1240</w:t>
      </w:r>
      <w:r w:rsidRPr="00D45524">
        <w:rPr>
          <w:rFonts w:ascii="Arial" w:eastAsia="Times New Roman" w:hAnsi="Arial" w:cs="Arial"/>
          <w:sz w:val="24"/>
          <w:szCs w:val="24"/>
          <w:lang w:eastAsia="fr-FR"/>
        </w:rPr>
        <w:t> : tout fait quelconque de l'homme, qui cause à autrui un dommage, oblige celui par la faute duquel il est arrivé à le réparer.</w:t>
      </w:r>
    </w:p>
    <w:p w14:paraId="00D11070"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b/>
          <w:bCs/>
          <w:sz w:val="24"/>
          <w:szCs w:val="24"/>
          <w:lang w:eastAsia="fr-FR"/>
        </w:rPr>
        <w:t>Article 1241</w:t>
      </w:r>
      <w:r w:rsidRPr="00D45524">
        <w:rPr>
          <w:rFonts w:ascii="Arial" w:eastAsia="Times New Roman" w:hAnsi="Arial" w:cs="Arial"/>
          <w:sz w:val="24"/>
          <w:szCs w:val="24"/>
          <w:lang w:eastAsia="fr-FR"/>
        </w:rPr>
        <w:t> : chacun est responsable du dommage qu'il a causé non seulement par son fait, mais encore par sa négligence ou par son imprudence.</w:t>
      </w:r>
    </w:p>
    <w:p w14:paraId="6F704F29"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b/>
          <w:bCs/>
          <w:sz w:val="24"/>
          <w:szCs w:val="24"/>
          <w:lang w:eastAsia="fr-FR"/>
        </w:rPr>
        <w:t xml:space="preserve">Article 1242 : </w:t>
      </w:r>
      <w:r w:rsidRPr="00D45524">
        <w:rPr>
          <w:rFonts w:ascii="Arial" w:eastAsia="Times New Roman" w:hAnsi="Arial" w:cs="Arial"/>
          <w:sz w:val="24"/>
          <w:szCs w:val="24"/>
          <w:lang w:eastAsia="fr-FR"/>
        </w:rPr>
        <w:t>on est responsable non seulement du dommage que l'on cause par son propre fait, mais encore de celui qui est causé par le fait des personnes dont on doit répondre, ou des choses que l'on a sous sa garde. […]</w:t>
      </w:r>
    </w:p>
    <w:p w14:paraId="4299CAC1"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sz w:val="24"/>
          <w:szCs w:val="24"/>
          <w:lang w:eastAsia="fr-FR"/>
        </w:rPr>
        <w:t>Le père et la mère, en tant qu'ils exercent l'autorité parentale, sont solidairement responsables du dommage causé par leurs enfants mineurs habitant avec eux. […]</w:t>
      </w:r>
    </w:p>
    <w:p w14:paraId="2104264E"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b/>
          <w:bCs/>
          <w:sz w:val="24"/>
          <w:szCs w:val="24"/>
          <w:lang w:eastAsia="fr-FR"/>
        </w:rPr>
        <w:t>Article 1243</w:t>
      </w:r>
      <w:r w:rsidRPr="00D45524">
        <w:rPr>
          <w:rFonts w:ascii="Arial" w:eastAsia="Times New Roman" w:hAnsi="Arial" w:cs="Arial"/>
          <w:sz w:val="24"/>
          <w:szCs w:val="24"/>
          <w:lang w:eastAsia="fr-FR"/>
        </w:rPr>
        <w:t xml:space="preserve"> : Le propriétaire d'un animal, ou celui qui s'en sert, pendant qu'il est à son usage, est responsable du dommage que l'animal a causé, soit que l'animal fût sous sa garde, soit qu'il fût égaré ou échappé. </w:t>
      </w:r>
    </w:p>
    <w:p w14:paraId="373E5029"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b/>
          <w:bCs/>
          <w:sz w:val="24"/>
          <w:szCs w:val="24"/>
          <w:lang w:eastAsia="fr-FR"/>
        </w:rPr>
        <w:t>Article1244 </w:t>
      </w:r>
      <w:r w:rsidRPr="00D45524">
        <w:rPr>
          <w:rFonts w:ascii="Arial" w:eastAsia="Times New Roman" w:hAnsi="Arial" w:cs="Arial"/>
          <w:sz w:val="24"/>
          <w:szCs w:val="24"/>
          <w:lang w:eastAsia="fr-FR"/>
        </w:rPr>
        <w:t xml:space="preserve">: Le propriétaire d'un bâtiment est responsable du dommage causé par sa ruine, lorsqu'elle est arrivée par une suite du défaut d'entretien ou par le vice de sa construction. </w:t>
      </w:r>
    </w:p>
    <w:p w14:paraId="6C95F5DB"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r w:rsidRPr="00D45524">
        <w:rPr>
          <w:rFonts w:ascii="Arial" w:eastAsia="Times New Roman" w:hAnsi="Arial" w:cs="Arial"/>
          <w:b/>
          <w:bCs/>
          <w:sz w:val="24"/>
          <w:szCs w:val="24"/>
          <w:lang w:eastAsia="fr-FR"/>
        </w:rPr>
        <w:t>Article 1245</w:t>
      </w:r>
      <w:r w:rsidRPr="00D45524">
        <w:rPr>
          <w:rFonts w:ascii="Arial" w:eastAsia="Times New Roman" w:hAnsi="Arial" w:cs="Arial"/>
          <w:sz w:val="24"/>
          <w:szCs w:val="24"/>
          <w:lang w:eastAsia="fr-FR"/>
        </w:rPr>
        <w:t> : Le producteur est responsable du dommage causé par un défaut de son produit, qu'il soit ou non lié par un contrat avec la victime.</w:t>
      </w:r>
    </w:p>
    <w:p w14:paraId="5005BEE7" w14:textId="77777777" w:rsidR="00D45524" w:rsidRPr="00D45524" w:rsidRDefault="00D45524" w:rsidP="00D45524">
      <w:pPr>
        <w:spacing w:before="120" w:after="120" w:line="240" w:lineRule="auto"/>
        <w:jc w:val="both"/>
        <w:rPr>
          <w:rFonts w:ascii="Arial" w:eastAsia="Times New Roman" w:hAnsi="Arial" w:cs="Arial"/>
          <w:sz w:val="24"/>
          <w:szCs w:val="24"/>
          <w:lang w:eastAsia="fr-FR"/>
        </w:rPr>
      </w:pPr>
    </w:p>
    <w:p w14:paraId="077996F0" w14:textId="77777777" w:rsidR="00D45524" w:rsidRPr="00D45524" w:rsidRDefault="00D45524" w:rsidP="00D45524">
      <w:pPr>
        <w:spacing w:before="120" w:after="120" w:line="240" w:lineRule="auto"/>
        <w:jc w:val="both"/>
        <w:rPr>
          <w:rFonts w:ascii="Arial" w:eastAsia="Times New Roman" w:hAnsi="Arial" w:cs="Arial"/>
          <w:bCs/>
          <w:sz w:val="24"/>
          <w:szCs w:val="24"/>
          <w:lang w:eastAsia="zh-CN"/>
        </w:rPr>
      </w:pPr>
      <w:r w:rsidRPr="00D45524">
        <w:rPr>
          <w:rFonts w:ascii="Arial" w:eastAsia="Times New Roman" w:hAnsi="Arial" w:cs="Arial"/>
          <w:b/>
          <w:bCs/>
          <w:sz w:val="24"/>
          <w:szCs w:val="24"/>
          <w:u w:val="single"/>
          <w:lang w:eastAsia="zh-CN"/>
        </w:rPr>
        <w:t>Annexe 2</w:t>
      </w:r>
      <w:r w:rsidRPr="00D45524">
        <w:rPr>
          <w:rFonts w:ascii="Arial" w:eastAsia="Times New Roman" w:hAnsi="Arial" w:cs="Arial"/>
          <w:b/>
          <w:bCs/>
          <w:sz w:val="24"/>
          <w:szCs w:val="24"/>
          <w:lang w:eastAsia="zh-CN"/>
        </w:rPr>
        <w:t xml:space="preserve">: Le sens des arrêts de la Cour de Cassation du 9 mai 1984 </w:t>
      </w:r>
    </w:p>
    <w:p w14:paraId="5EA021B2" w14:textId="0CB858FB" w:rsidR="00D45524" w:rsidRPr="00D45524" w:rsidRDefault="00D45524" w:rsidP="00D45524">
      <w:pPr>
        <w:spacing w:before="120" w:after="120" w:line="240" w:lineRule="auto"/>
        <w:jc w:val="both"/>
        <w:rPr>
          <w:rFonts w:ascii="Arial" w:eastAsia="Times New Roman" w:hAnsi="Arial" w:cs="Arial"/>
          <w:sz w:val="24"/>
          <w:szCs w:val="24"/>
          <w:lang w:eastAsia="zh-CN"/>
        </w:rPr>
      </w:pPr>
      <w:r w:rsidRPr="00D45524">
        <w:rPr>
          <w:rFonts w:ascii="Arial" w:eastAsia="Times New Roman" w:hAnsi="Arial" w:cs="Arial"/>
          <w:sz w:val="24"/>
          <w:szCs w:val="24"/>
          <w:lang w:eastAsia="zh-CN"/>
        </w:rPr>
        <w:t xml:space="preserve">Avant l’adoption de ces arrêts en 1984, la responsabilité de l’enfant était une condition pour que la responsabilité des parents du fait de l’enfant puisse dans un second temps jouer au profit des victimes. Or, parce que la faute suppose la distinction entre le bien et le mal, la jurisprudence estimait que l’enfant en bas âge, l'infans, ne pouvait être responsable, à défaut d’un tel discernement moral. Cette règle </w:t>
      </w:r>
      <w:r w:rsidR="00CD0326">
        <w:rPr>
          <w:rFonts w:ascii="Arial" w:eastAsia="Times New Roman" w:hAnsi="Arial" w:cs="Arial"/>
          <w:sz w:val="24"/>
          <w:szCs w:val="24"/>
          <w:lang w:eastAsia="zh-CN"/>
        </w:rPr>
        <w:t>[</w:t>
      </w:r>
      <w:r w:rsidRPr="00D45524">
        <w:rPr>
          <w:rFonts w:ascii="Arial" w:eastAsia="Times New Roman" w:hAnsi="Arial" w:cs="Arial"/>
          <w:sz w:val="24"/>
          <w:szCs w:val="24"/>
          <w:lang w:eastAsia="zh-CN"/>
        </w:rPr>
        <w:t>…</w:t>
      </w:r>
      <w:r w:rsidR="00CD0326">
        <w:rPr>
          <w:rFonts w:ascii="Arial" w:eastAsia="Times New Roman" w:hAnsi="Arial" w:cs="Arial"/>
          <w:sz w:val="24"/>
          <w:szCs w:val="24"/>
          <w:lang w:eastAsia="zh-CN"/>
        </w:rPr>
        <w:t>]</w:t>
      </w:r>
      <w:r w:rsidRPr="00D45524">
        <w:rPr>
          <w:rFonts w:ascii="Arial" w:eastAsia="Times New Roman" w:hAnsi="Arial" w:cs="Arial"/>
          <w:sz w:val="24"/>
          <w:szCs w:val="24"/>
          <w:lang w:eastAsia="zh-CN"/>
        </w:rPr>
        <w:t xml:space="preserve"> de droit civil était le pendant de la règle législative en droit pénal, posant le principe de l’irresponsabilité de l’être humain jusqu’à 13 ans.</w:t>
      </w:r>
    </w:p>
    <w:p w14:paraId="40397F75" w14:textId="77777777" w:rsidR="00D45524" w:rsidRPr="00D45524" w:rsidRDefault="00D45524" w:rsidP="00D45524">
      <w:pPr>
        <w:spacing w:before="120" w:after="120" w:line="240" w:lineRule="auto"/>
        <w:jc w:val="both"/>
        <w:rPr>
          <w:rFonts w:ascii="Arial" w:eastAsia="Times New Roman" w:hAnsi="Arial" w:cs="Arial"/>
          <w:sz w:val="24"/>
          <w:szCs w:val="24"/>
          <w:lang w:eastAsia="zh-CN"/>
        </w:rPr>
      </w:pPr>
      <w:r w:rsidRPr="00D45524">
        <w:rPr>
          <w:rFonts w:ascii="Arial" w:eastAsia="Times New Roman" w:hAnsi="Arial" w:cs="Arial"/>
          <w:sz w:val="24"/>
          <w:szCs w:val="24"/>
          <w:lang w:eastAsia="zh-CN"/>
        </w:rPr>
        <w:t>Mais la victime d’un dommage causé par un enfant est dans la même situation de préjudice que la victime d’un dommage causé par un être humain plus âgé. Plus sociologiquement, les enfants sont devenus plus autonomes de leurs parents et plus habiles de leurs mains, plus maîtres de ce qui les environnent, maîtrisent de nombreux objets techniques, etc.</w:t>
      </w:r>
    </w:p>
    <w:p w14:paraId="78DB8484" w14:textId="77777777" w:rsidR="00D45524" w:rsidRPr="00D45524" w:rsidRDefault="00D45524" w:rsidP="00D45524">
      <w:pPr>
        <w:spacing w:before="120" w:after="120" w:line="240" w:lineRule="auto"/>
        <w:jc w:val="both"/>
        <w:rPr>
          <w:rFonts w:ascii="Arial" w:eastAsia="Times New Roman" w:hAnsi="Arial" w:cs="Arial"/>
          <w:sz w:val="24"/>
          <w:szCs w:val="24"/>
          <w:lang w:eastAsia="zh-CN"/>
        </w:rPr>
      </w:pPr>
      <w:r w:rsidRPr="00D45524">
        <w:rPr>
          <w:rFonts w:ascii="Arial" w:eastAsia="Times New Roman" w:hAnsi="Arial" w:cs="Arial"/>
          <w:sz w:val="24"/>
          <w:szCs w:val="24"/>
          <w:lang w:eastAsia="zh-CN"/>
        </w:rPr>
        <w:t>Dans l’une des quatre espèces soumises à la Cour de cassation, l’un des enfants, le jeune Gabillet, âgé de moins de 13 ans, par sa maladresse à la balançoire, avait éborgné un autre enfant. Est-il juste parce que le responsable était très jeune, que la victime ne reçoive aucune indemnité pour ce préjudice à vie, alors que les parents de l’enfant ayant causé le dommage était assuré ?</w:t>
      </w:r>
    </w:p>
    <w:p w14:paraId="1877B411" w14:textId="77777777" w:rsidR="00D45524" w:rsidRPr="00D45524" w:rsidRDefault="00D45524" w:rsidP="00D45524">
      <w:pPr>
        <w:spacing w:before="120" w:after="120" w:line="240" w:lineRule="auto"/>
        <w:jc w:val="both"/>
        <w:rPr>
          <w:rFonts w:ascii="Arial" w:eastAsia="Times New Roman" w:hAnsi="Arial" w:cs="Arial"/>
          <w:sz w:val="24"/>
          <w:szCs w:val="24"/>
          <w:lang w:eastAsia="zh-CN"/>
        </w:rPr>
      </w:pPr>
      <w:r w:rsidRPr="00D45524">
        <w:rPr>
          <w:rFonts w:ascii="Arial" w:eastAsia="Times New Roman" w:hAnsi="Arial" w:cs="Arial"/>
          <w:sz w:val="24"/>
          <w:szCs w:val="24"/>
          <w:lang w:eastAsia="zh-CN"/>
        </w:rPr>
        <w:t>C’est pour de telles considérations, parce que la société avait changé, que la Cour de cassation raya d’un trait de plume le principe civiliste de l’irresponsabilité de l’infans.</w:t>
      </w:r>
    </w:p>
    <w:p w14:paraId="4343AA3F" w14:textId="77777777" w:rsidR="00D45524" w:rsidRPr="00AF087D" w:rsidRDefault="00D45524" w:rsidP="00D45524">
      <w:pPr>
        <w:spacing w:before="120" w:after="120" w:line="240" w:lineRule="auto"/>
        <w:jc w:val="right"/>
        <w:rPr>
          <w:rFonts w:ascii="Arial" w:eastAsia="Times New Roman" w:hAnsi="Arial" w:cs="Arial"/>
          <w:i/>
          <w:sz w:val="24"/>
          <w:szCs w:val="24"/>
          <w:lang w:eastAsia="zh-CN"/>
        </w:rPr>
      </w:pPr>
      <w:r w:rsidRPr="00AF087D">
        <w:rPr>
          <w:rFonts w:ascii="Arial" w:eastAsia="Times New Roman" w:hAnsi="Arial" w:cs="Arial"/>
          <w:i/>
          <w:sz w:val="24"/>
          <w:szCs w:val="24"/>
          <w:lang w:eastAsia="zh-CN"/>
        </w:rPr>
        <w:t>Source : Site mafr.fr</w:t>
      </w:r>
    </w:p>
    <w:p w14:paraId="15E703F6" w14:textId="77777777" w:rsidR="00D45524" w:rsidRPr="00D45524" w:rsidRDefault="00D45524" w:rsidP="00D45524">
      <w:pPr>
        <w:spacing w:before="120" w:after="120" w:line="240" w:lineRule="auto"/>
        <w:rPr>
          <w:rFonts w:ascii="Arial" w:eastAsia="Times New Roman" w:hAnsi="Arial" w:cs="Arial"/>
          <w:sz w:val="24"/>
          <w:szCs w:val="24"/>
          <w:lang w:eastAsia="zh-CN"/>
        </w:rPr>
      </w:pPr>
    </w:p>
    <w:p w14:paraId="5A8FBC5F" w14:textId="77777777" w:rsidR="00D45524" w:rsidRPr="00D45524" w:rsidRDefault="00D45524" w:rsidP="00D45524">
      <w:pPr>
        <w:spacing w:after="0" w:line="240" w:lineRule="auto"/>
        <w:rPr>
          <w:rFonts w:ascii="Arial" w:eastAsia="Times New Roman" w:hAnsi="Arial" w:cs="Arial"/>
          <w:b/>
          <w:bCs/>
          <w:sz w:val="24"/>
          <w:szCs w:val="24"/>
          <w:lang w:eastAsia="zh-CN"/>
        </w:rPr>
      </w:pPr>
      <w:r w:rsidRPr="00D45524">
        <w:rPr>
          <w:rFonts w:ascii="Arial" w:eastAsia="Times New Roman" w:hAnsi="Arial" w:cs="Arial"/>
          <w:b/>
          <w:bCs/>
          <w:sz w:val="24"/>
          <w:szCs w:val="24"/>
          <w:lang w:eastAsia="zh-CN"/>
        </w:rPr>
        <w:br w:type="page"/>
      </w:r>
    </w:p>
    <w:p w14:paraId="573A77B4" w14:textId="77777777" w:rsidR="00D45524" w:rsidRPr="00D45524" w:rsidRDefault="00D45524" w:rsidP="00D45524">
      <w:pPr>
        <w:spacing w:before="120" w:after="120" w:line="240" w:lineRule="auto"/>
        <w:rPr>
          <w:rFonts w:ascii="Arial" w:eastAsia="Times New Roman" w:hAnsi="Arial" w:cs="Arial"/>
          <w:b/>
          <w:bCs/>
          <w:sz w:val="24"/>
          <w:szCs w:val="24"/>
          <w:lang w:eastAsia="zh-CN"/>
        </w:rPr>
      </w:pPr>
      <w:r w:rsidRPr="00D45524">
        <w:rPr>
          <w:rFonts w:ascii="Arial" w:eastAsia="Times New Roman" w:hAnsi="Arial" w:cs="Arial"/>
          <w:b/>
          <w:bCs/>
          <w:sz w:val="24"/>
          <w:szCs w:val="24"/>
          <w:u w:val="single"/>
          <w:lang w:eastAsia="zh-CN"/>
        </w:rPr>
        <w:lastRenderedPageBreak/>
        <w:t>Annexe 3</w:t>
      </w:r>
      <w:r w:rsidRPr="00D45524">
        <w:rPr>
          <w:rFonts w:ascii="Arial" w:eastAsia="Times New Roman" w:hAnsi="Arial" w:cs="Arial"/>
          <w:b/>
          <w:bCs/>
          <w:sz w:val="24"/>
          <w:szCs w:val="24"/>
          <w:lang w:eastAsia="zh-CN"/>
        </w:rPr>
        <w:t>: loi du 5 juillet 1985 dite loi Badinter (extrait)</w:t>
      </w:r>
    </w:p>
    <w:p w14:paraId="790F2382" w14:textId="77777777" w:rsidR="00D45524" w:rsidRPr="00D45524" w:rsidRDefault="00D45524" w:rsidP="00D45524">
      <w:pPr>
        <w:spacing w:before="120" w:after="120" w:line="240" w:lineRule="auto"/>
        <w:rPr>
          <w:rFonts w:ascii="Arial" w:eastAsia="Times New Roman" w:hAnsi="Arial" w:cs="Arial"/>
          <w:sz w:val="24"/>
          <w:szCs w:val="24"/>
          <w:lang w:eastAsia="zh-CN"/>
        </w:rPr>
      </w:pPr>
      <w:r w:rsidRPr="00D45524">
        <w:rPr>
          <w:rFonts w:ascii="Arial" w:eastAsia="Times New Roman" w:hAnsi="Arial" w:cs="Arial"/>
          <w:b/>
          <w:bCs/>
          <w:sz w:val="24"/>
          <w:szCs w:val="24"/>
          <w:lang w:eastAsia="zh-CN"/>
        </w:rPr>
        <w:t>Article 1</w:t>
      </w:r>
      <w:r w:rsidRPr="00D45524">
        <w:rPr>
          <w:rFonts w:ascii="Arial" w:eastAsia="Times New Roman" w:hAnsi="Arial" w:cs="Arial"/>
          <w:sz w:val="24"/>
          <w:szCs w:val="24"/>
          <w:lang w:eastAsia="zh-CN"/>
        </w:rPr>
        <w:t xml:space="preserve">  </w:t>
      </w:r>
    </w:p>
    <w:p w14:paraId="54D21A60" w14:textId="77777777" w:rsidR="00D45524" w:rsidRPr="00D45524" w:rsidRDefault="00D45524" w:rsidP="00D45524">
      <w:pPr>
        <w:spacing w:before="120" w:after="120" w:line="240" w:lineRule="auto"/>
        <w:jc w:val="both"/>
        <w:rPr>
          <w:rFonts w:ascii="Arial" w:eastAsia="Times New Roman" w:hAnsi="Arial" w:cs="Arial"/>
          <w:sz w:val="24"/>
          <w:szCs w:val="24"/>
          <w:lang w:eastAsia="zh-CN"/>
        </w:rPr>
      </w:pPr>
      <w:r w:rsidRPr="00D45524">
        <w:rPr>
          <w:rFonts w:ascii="Arial" w:eastAsia="Times New Roman" w:hAnsi="Arial" w:cs="Arial"/>
          <w:sz w:val="24"/>
          <w:szCs w:val="24"/>
          <w:lang w:eastAsia="zh-CN"/>
        </w:rPr>
        <w:t>Les dispositions du présent chapitre s'appliquent, même lorsqu'elles sont transportées en vertu d'un contrat, aux victimes d'un accident de la circulation dans lequel est impliqué un véhicule terrestre à moteur ainsi que ses remorques ou semi-remorques, à l'exception des chemins de fer et des tramways circulant sur des voies qui leur sont propres.</w:t>
      </w:r>
    </w:p>
    <w:p w14:paraId="1B4AC14C" w14:textId="77777777" w:rsidR="00D45524" w:rsidRPr="00D45524" w:rsidRDefault="00D45524" w:rsidP="00D45524">
      <w:pPr>
        <w:spacing w:before="120" w:after="120" w:line="240" w:lineRule="auto"/>
        <w:jc w:val="both"/>
        <w:rPr>
          <w:rFonts w:ascii="Arial" w:eastAsia="Times New Roman" w:hAnsi="Arial" w:cs="Arial"/>
          <w:b/>
          <w:bCs/>
          <w:sz w:val="24"/>
          <w:szCs w:val="24"/>
          <w:lang w:eastAsia="zh-CN"/>
        </w:rPr>
      </w:pPr>
      <w:r w:rsidRPr="00D45524">
        <w:rPr>
          <w:rFonts w:ascii="Arial" w:eastAsia="Times New Roman" w:hAnsi="Arial" w:cs="Arial"/>
          <w:b/>
          <w:bCs/>
          <w:sz w:val="24"/>
          <w:szCs w:val="24"/>
          <w:lang w:eastAsia="zh-CN"/>
        </w:rPr>
        <w:t xml:space="preserve">Article 2 </w:t>
      </w:r>
    </w:p>
    <w:p w14:paraId="1DE65415" w14:textId="77777777" w:rsidR="00D45524" w:rsidRPr="00D45524" w:rsidRDefault="00D45524" w:rsidP="00D45524">
      <w:pPr>
        <w:spacing w:before="120" w:after="120" w:line="240" w:lineRule="auto"/>
        <w:jc w:val="both"/>
        <w:rPr>
          <w:rFonts w:ascii="Arial" w:eastAsia="Times New Roman" w:hAnsi="Arial" w:cs="Arial"/>
          <w:sz w:val="24"/>
          <w:szCs w:val="24"/>
          <w:lang w:eastAsia="zh-CN"/>
        </w:rPr>
      </w:pPr>
      <w:r w:rsidRPr="00D45524">
        <w:rPr>
          <w:rFonts w:ascii="Arial" w:eastAsia="Times New Roman" w:hAnsi="Arial" w:cs="Arial"/>
          <w:sz w:val="24"/>
          <w:szCs w:val="24"/>
          <w:lang w:eastAsia="zh-CN"/>
        </w:rPr>
        <w:t>Les victimes, y compris les conducteurs, ne peuvent se voir opposer la force majeure ou le fait d'un tiers par le conducteur ou le gardien d'un véhicule mentionné à l'article 1er.</w:t>
      </w:r>
    </w:p>
    <w:p w14:paraId="28346A72" w14:textId="77777777" w:rsidR="00D45524" w:rsidRPr="00D45524" w:rsidRDefault="00D45524" w:rsidP="00D45524">
      <w:pPr>
        <w:spacing w:before="120" w:after="120" w:line="240" w:lineRule="auto"/>
        <w:jc w:val="both"/>
        <w:rPr>
          <w:rFonts w:ascii="Arial" w:eastAsia="Times New Roman" w:hAnsi="Arial" w:cs="Arial"/>
          <w:b/>
          <w:bCs/>
          <w:sz w:val="24"/>
          <w:szCs w:val="24"/>
          <w:lang w:eastAsia="zh-CN"/>
        </w:rPr>
      </w:pPr>
      <w:r w:rsidRPr="00D45524">
        <w:rPr>
          <w:rFonts w:ascii="Arial" w:eastAsia="Times New Roman" w:hAnsi="Arial" w:cs="Arial"/>
          <w:b/>
          <w:bCs/>
          <w:sz w:val="24"/>
          <w:szCs w:val="24"/>
          <w:lang w:eastAsia="zh-CN"/>
        </w:rPr>
        <w:t>Article 3</w:t>
      </w:r>
    </w:p>
    <w:p w14:paraId="7DE44F75" w14:textId="5EFDC25D" w:rsidR="00D45524" w:rsidRPr="00D45524" w:rsidRDefault="00D45524" w:rsidP="00D45524">
      <w:pPr>
        <w:spacing w:before="120" w:after="120" w:line="240" w:lineRule="auto"/>
        <w:jc w:val="both"/>
        <w:rPr>
          <w:rFonts w:ascii="Arial" w:eastAsia="Times New Roman" w:hAnsi="Arial" w:cs="Arial"/>
          <w:sz w:val="24"/>
          <w:szCs w:val="24"/>
          <w:lang w:eastAsia="zh-CN"/>
        </w:rPr>
      </w:pPr>
      <w:r w:rsidRPr="00D45524">
        <w:rPr>
          <w:rFonts w:ascii="Arial" w:eastAsia="Times New Roman" w:hAnsi="Arial" w:cs="Arial"/>
          <w:sz w:val="24"/>
          <w:szCs w:val="24"/>
          <w:lang w:eastAsia="zh-CN"/>
        </w:rPr>
        <w:t xml:space="preserve">Les victimes, hormis les conducteurs de véhicules terrestres à moteur, sont indemnisées des dommages résultant des atteintes à leur personne qu'elles ont subis, sans que puisse leur être opposées leur propre faute à l'exception de leur faute inexcusable si elle a été la cause exclusive de l'accident. </w:t>
      </w:r>
      <w:r w:rsidR="00CD0326">
        <w:rPr>
          <w:rFonts w:ascii="Arial" w:eastAsia="Times New Roman" w:hAnsi="Arial" w:cs="Arial"/>
          <w:sz w:val="24"/>
          <w:szCs w:val="24"/>
          <w:lang w:eastAsia="zh-CN"/>
        </w:rPr>
        <w:t>[</w:t>
      </w:r>
      <w:r w:rsidRPr="00D45524">
        <w:rPr>
          <w:rFonts w:ascii="Arial" w:eastAsia="Times New Roman" w:hAnsi="Arial" w:cs="Arial"/>
          <w:sz w:val="24"/>
          <w:szCs w:val="24"/>
          <w:lang w:eastAsia="zh-CN"/>
        </w:rPr>
        <w:t>…</w:t>
      </w:r>
      <w:r w:rsidR="00CD0326">
        <w:rPr>
          <w:rFonts w:ascii="Arial" w:eastAsia="Times New Roman" w:hAnsi="Arial" w:cs="Arial"/>
          <w:sz w:val="24"/>
          <w:szCs w:val="24"/>
          <w:lang w:eastAsia="zh-CN"/>
        </w:rPr>
        <w:t>]</w:t>
      </w:r>
    </w:p>
    <w:p w14:paraId="3AC9369D" w14:textId="77777777" w:rsidR="00D45524" w:rsidRPr="00D45524" w:rsidRDefault="00D45524" w:rsidP="00D45524">
      <w:pPr>
        <w:spacing w:before="120" w:after="120" w:line="240" w:lineRule="auto"/>
        <w:jc w:val="both"/>
        <w:rPr>
          <w:rFonts w:ascii="Arial" w:eastAsia="Times New Roman" w:hAnsi="Arial" w:cs="Arial"/>
          <w:b/>
          <w:bCs/>
          <w:szCs w:val="24"/>
          <w:lang w:eastAsia="zh-CN"/>
        </w:rPr>
      </w:pPr>
    </w:p>
    <w:p w14:paraId="5440E94B" w14:textId="77777777" w:rsidR="00D45524" w:rsidRPr="00D45524" w:rsidRDefault="00D45524" w:rsidP="00D45524">
      <w:pPr>
        <w:spacing w:before="120" w:after="120" w:line="240" w:lineRule="auto"/>
        <w:jc w:val="both"/>
        <w:rPr>
          <w:rFonts w:ascii="Arial" w:eastAsia="Times New Roman" w:hAnsi="Arial" w:cs="Arial"/>
          <w:b/>
          <w:sz w:val="24"/>
          <w:szCs w:val="24"/>
          <w:lang w:eastAsia="zh-CN"/>
        </w:rPr>
      </w:pPr>
      <w:r w:rsidRPr="00D45524">
        <w:rPr>
          <w:rFonts w:ascii="Arial" w:eastAsia="Times New Roman" w:hAnsi="Arial" w:cs="Arial"/>
          <w:b/>
          <w:bCs/>
          <w:sz w:val="24"/>
          <w:szCs w:val="24"/>
          <w:u w:val="single"/>
          <w:lang w:eastAsia="zh-CN"/>
        </w:rPr>
        <w:t>Annexe 4</w:t>
      </w:r>
      <w:r w:rsidRPr="00D45524">
        <w:rPr>
          <w:rFonts w:ascii="Arial" w:eastAsia="Times New Roman" w:hAnsi="Arial" w:cs="Arial"/>
          <w:b/>
          <w:bCs/>
          <w:sz w:val="24"/>
          <w:szCs w:val="24"/>
          <w:lang w:eastAsia="zh-CN"/>
        </w:rPr>
        <w:t>:</w:t>
      </w:r>
      <w:r w:rsidRPr="00D45524">
        <w:rPr>
          <w:rFonts w:ascii="Arial" w:eastAsia="Times New Roman" w:hAnsi="Arial" w:cs="Arial"/>
          <w:b/>
          <w:sz w:val="24"/>
          <w:szCs w:val="24"/>
          <w:lang w:eastAsia="zh-CN"/>
        </w:rPr>
        <w:t xml:space="preserve"> règles de circulation pour les cyclistes (extrait)</w:t>
      </w:r>
    </w:p>
    <w:p w14:paraId="5942CE4B" w14:textId="77777777" w:rsidR="00D45524" w:rsidRPr="00D45524" w:rsidRDefault="00D45524" w:rsidP="00D45524">
      <w:pPr>
        <w:spacing w:before="120" w:after="120" w:line="240" w:lineRule="auto"/>
        <w:jc w:val="both"/>
        <w:rPr>
          <w:rFonts w:ascii="Arial" w:eastAsia="Times New Roman" w:hAnsi="Arial" w:cs="Arial"/>
          <w:sz w:val="24"/>
          <w:szCs w:val="24"/>
          <w:lang w:eastAsia="zh-CN"/>
        </w:rPr>
      </w:pPr>
      <w:r w:rsidRPr="00D45524">
        <w:rPr>
          <w:rFonts w:ascii="Arial" w:eastAsia="Times New Roman" w:hAnsi="Arial" w:cs="Arial"/>
          <w:sz w:val="24"/>
          <w:szCs w:val="24"/>
          <w:lang w:eastAsia="zh-CN"/>
        </w:rPr>
        <w:t>En ville, les cyclistes doivent emprunter</w:t>
      </w:r>
      <w:r w:rsidRPr="00D45524">
        <w:rPr>
          <w:rFonts w:ascii="Arial" w:eastAsia="Times New Roman" w:hAnsi="Arial" w:cs="Arial"/>
          <w:b/>
          <w:bCs/>
          <w:sz w:val="24"/>
          <w:szCs w:val="24"/>
          <w:lang w:eastAsia="zh-CN"/>
        </w:rPr>
        <w:t xml:space="preserve"> </w:t>
      </w:r>
      <w:r w:rsidRPr="00D45524">
        <w:rPr>
          <w:rFonts w:ascii="Arial" w:eastAsia="Times New Roman" w:hAnsi="Arial" w:cs="Arial"/>
          <w:sz w:val="24"/>
          <w:szCs w:val="24"/>
          <w:lang w:eastAsia="zh-CN"/>
        </w:rPr>
        <w:t xml:space="preserve">les pistes ou les bandes cyclables qui leur sont dédiées et circuler du côté droit lorsqu’ils sont face à la route. Si la chaussée est bordée de chaque côté par l’une de ces voies réservées, les utilisateurs doivent emprunter celle ouverte à droite de la route, dans le sens de la circulation et respecter les feux de signalisations réglant la traversée des routes ; </w:t>
      </w:r>
    </w:p>
    <w:p w14:paraId="72F0EA3C" w14:textId="77777777" w:rsidR="00D45524" w:rsidRPr="00D45524" w:rsidRDefault="00D45524" w:rsidP="00D45524">
      <w:pPr>
        <w:spacing w:before="120" w:after="120" w:line="240" w:lineRule="auto"/>
        <w:jc w:val="both"/>
        <w:rPr>
          <w:rFonts w:ascii="Arial" w:eastAsia="Times New Roman" w:hAnsi="Arial" w:cs="Arial"/>
          <w:sz w:val="24"/>
          <w:szCs w:val="24"/>
          <w:lang w:eastAsia="zh-CN"/>
        </w:rPr>
      </w:pPr>
      <w:r w:rsidRPr="00D45524">
        <w:rPr>
          <w:rFonts w:ascii="Arial" w:eastAsia="Times New Roman" w:hAnsi="Arial" w:cs="Arial"/>
          <w:sz w:val="24"/>
          <w:szCs w:val="24"/>
          <w:lang w:eastAsia="zh-CN"/>
        </w:rPr>
        <w:t xml:space="preserve">En l'absence de pistes ou bandes cyclables, les cyclistes doivent circuler sur le côté droit de la chaussée ; </w:t>
      </w:r>
    </w:p>
    <w:p w14:paraId="1F56FB95" w14:textId="498522E3" w:rsidR="00D45524" w:rsidRPr="00D45524" w:rsidRDefault="00CD0326" w:rsidP="00D45524">
      <w:pPr>
        <w:spacing w:before="120" w:after="12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t>
      </w:r>
      <w:r w:rsidR="00D45524" w:rsidRPr="00D45524">
        <w:rPr>
          <w:rFonts w:ascii="Arial" w:eastAsia="Times New Roman" w:hAnsi="Arial" w:cs="Arial"/>
          <w:sz w:val="24"/>
          <w:szCs w:val="24"/>
          <w:lang w:eastAsia="zh-CN"/>
        </w:rPr>
        <w:t>…</w:t>
      </w:r>
      <w:r>
        <w:rPr>
          <w:rFonts w:ascii="Arial" w:eastAsia="Times New Roman" w:hAnsi="Arial" w:cs="Arial"/>
          <w:sz w:val="24"/>
          <w:szCs w:val="24"/>
          <w:lang w:eastAsia="zh-CN"/>
        </w:rPr>
        <w:t>]</w:t>
      </w:r>
      <w:r w:rsidR="00D45524" w:rsidRPr="00D45524">
        <w:rPr>
          <w:rFonts w:ascii="Arial" w:eastAsia="Times New Roman" w:hAnsi="Arial" w:cs="Arial"/>
          <w:sz w:val="24"/>
          <w:szCs w:val="24"/>
          <w:lang w:eastAsia="zh-CN"/>
        </w:rPr>
        <w:t xml:space="preserve"> Seuls les enfants de moins de huit ans sont autorisés à emprunter les trottoirs, à condition de rouler à une allure raisonnable et de ne pas gêner les piétons ;</w:t>
      </w:r>
    </w:p>
    <w:p w14:paraId="66FE394D" w14:textId="77777777" w:rsidR="00D45524" w:rsidRPr="00D45524" w:rsidRDefault="00D45524" w:rsidP="00D45524">
      <w:pPr>
        <w:spacing w:before="120" w:after="120" w:line="240" w:lineRule="auto"/>
        <w:jc w:val="both"/>
        <w:outlineLvl w:val="0"/>
        <w:rPr>
          <w:rFonts w:ascii="Arial" w:eastAsia="Times New Roman" w:hAnsi="Arial" w:cs="Arial"/>
          <w:sz w:val="24"/>
          <w:szCs w:val="24"/>
          <w:lang w:eastAsia="zh-CN"/>
        </w:rPr>
      </w:pPr>
    </w:p>
    <w:p w14:paraId="41E92553" w14:textId="77777777" w:rsidR="00D45524" w:rsidRPr="00671F48" w:rsidRDefault="00D45524" w:rsidP="00D45524">
      <w:pPr>
        <w:spacing w:before="120" w:after="120" w:line="240" w:lineRule="auto"/>
        <w:jc w:val="right"/>
        <w:outlineLvl w:val="0"/>
        <w:rPr>
          <w:rFonts w:ascii="Arial" w:eastAsia="Times New Roman" w:hAnsi="Arial" w:cs="Arial"/>
          <w:i/>
          <w:sz w:val="24"/>
          <w:szCs w:val="24"/>
          <w:lang w:eastAsia="zh-CN"/>
        </w:rPr>
      </w:pPr>
      <w:r w:rsidRPr="00671F48">
        <w:rPr>
          <w:rFonts w:ascii="Arial" w:eastAsia="Times New Roman" w:hAnsi="Arial" w:cs="Arial"/>
          <w:i/>
          <w:sz w:val="24"/>
          <w:szCs w:val="24"/>
          <w:lang w:eastAsia="zh-CN"/>
        </w:rPr>
        <w:t>Source : www.securite-routiere.gouv.fr</w:t>
      </w:r>
    </w:p>
    <w:p w14:paraId="2849BFA4" w14:textId="77777777" w:rsidR="00D45524" w:rsidRPr="00EF6D68" w:rsidRDefault="00D45524" w:rsidP="00D45524">
      <w:pPr>
        <w:rPr>
          <w:rFonts w:ascii="Arial" w:hAnsi="Arial" w:cs="Arial"/>
          <w:b/>
          <w:bCs/>
          <w:sz w:val="28"/>
          <w:szCs w:val="28"/>
        </w:rPr>
      </w:pPr>
    </w:p>
    <w:p w14:paraId="3049ABEE" w14:textId="77777777" w:rsidR="00D45524" w:rsidRDefault="00D45524" w:rsidP="00D45524">
      <w:pPr>
        <w:rPr>
          <w:rFonts w:ascii="Arial" w:hAnsi="Arial" w:cs="Arial"/>
          <w:b/>
          <w:bCs/>
          <w:sz w:val="28"/>
          <w:szCs w:val="28"/>
        </w:rPr>
      </w:pPr>
      <w:r>
        <w:rPr>
          <w:rFonts w:ascii="Arial" w:hAnsi="Arial" w:cs="Arial"/>
          <w:b/>
          <w:bCs/>
          <w:sz w:val="28"/>
          <w:szCs w:val="28"/>
        </w:rPr>
        <w:br w:type="page"/>
      </w:r>
    </w:p>
    <w:p w14:paraId="15558987" w14:textId="77777777" w:rsidR="00D45524" w:rsidRDefault="00D45524" w:rsidP="00D45524">
      <w:pPr>
        <w:rPr>
          <w:rFonts w:ascii="Arial" w:hAnsi="Arial" w:cs="Arial"/>
          <w:b/>
          <w:bCs/>
          <w:sz w:val="28"/>
          <w:szCs w:val="28"/>
        </w:rPr>
      </w:pPr>
    </w:p>
    <w:p w14:paraId="0D89BF23" w14:textId="77777777" w:rsidR="003241BC" w:rsidRPr="003241BC" w:rsidRDefault="003241BC" w:rsidP="00D45524">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sz w:val="16"/>
          <w:szCs w:val="24"/>
          <w:u w:val="single"/>
        </w:rPr>
      </w:pPr>
    </w:p>
    <w:p w14:paraId="787652F1" w14:textId="77777777" w:rsidR="00D45524" w:rsidRPr="00DE5E04" w:rsidRDefault="00D45524" w:rsidP="00D45524">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sz w:val="24"/>
          <w:szCs w:val="24"/>
          <w:u w:val="single"/>
        </w:rPr>
      </w:pPr>
      <w:r w:rsidRPr="00DE5E04">
        <w:rPr>
          <w:rFonts w:ascii="Arial" w:eastAsia="Times New Roman" w:hAnsi="Arial" w:cs="Arial"/>
          <w:b/>
          <w:sz w:val="24"/>
          <w:szCs w:val="24"/>
          <w:u w:val="single"/>
        </w:rPr>
        <w:t xml:space="preserve">PARTIE </w:t>
      </w:r>
      <w:r>
        <w:rPr>
          <w:rFonts w:ascii="Arial" w:eastAsia="Times New Roman" w:hAnsi="Arial" w:cs="Arial"/>
          <w:b/>
          <w:sz w:val="24"/>
          <w:szCs w:val="24"/>
          <w:u w:val="single"/>
        </w:rPr>
        <w:t>ÉCONOMIQUE</w:t>
      </w:r>
    </w:p>
    <w:p w14:paraId="6E58CE5A" w14:textId="77777777" w:rsidR="00D45524" w:rsidRPr="00DE5E04" w:rsidRDefault="00D45524" w:rsidP="00D45524">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sz w:val="10"/>
          <w:szCs w:val="24"/>
          <w:u w:val="single"/>
        </w:rPr>
      </w:pPr>
    </w:p>
    <w:p w14:paraId="5FF134A0" w14:textId="77777777" w:rsidR="00D45524" w:rsidRPr="00DE5E04" w:rsidRDefault="00D45524" w:rsidP="00D45524">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sz w:val="24"/>
          <w:szCs w:val="24"/>
        </w:rPr>
      </w:pPr>
      <w:r w:rsidRPr="00DE5E04">
        <w:rPr>
          <w:rFonts w:ascii="Arial" w:eastAsia="Times New Roman" w:hAnsi="Arial" w:cs="Arial"/>
          <w:b/>
          <w:sz w:val="24"/>
          <w:szCs w:val="24"/>
        </w:rPr>
        <w:t>Le candidat traite l’un des 2 sujets proposés parmi le sujet 1 et le sujet 2.</w:t>
      </w:r>
    </w:p>
    <w:p w14:paraId="437CC78D" w14:textId="77777777" w:rsidR="00D45524" w:rsidRPr="00DE5E04" w:rsidRDefault="00D45524" w:rsidP="00D4552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16"/>
          <w:szCs w:val="10"/>
        </w:rPr>
      </w:pPr>
    </w:p>
    <w:p w14:paraId="25003581" w14:textId="77777777" w:rsidR="00D45524" w:rsidRDefault="00D45524" w:rsidP="00D45524">
      <w:pPr>
        <w:rPr>
          <w:rFonts w:ascii="Arial" w:hAnsi="Arial" w:cs="Arial"/>
          <w:b/>
          <w:bCs/>
          <w:sz w:val="28"/>
          <w:szCs w:val="28"/>
        </w:rPr>
      </w:pPr>
    </w:p>
    <w:p w14:paraId="14116212" w14:textId="77777777" w:rsidR="00D45524" w:rsidRDefault="00EE3257" w:rsidP="00D45524">
      <w:pPr>
        <w:rPr>
          <w:rFonts w:ascii="Arial" w:hAnsi="Arial" w:cs="Arial"/>
          <w:b/>
          <w:bCs/>
          <w:sz w:val="28"/>
          <w:szCs w:val="28"/>
        </w:rPr>
      </w:pPr>
      <w:r>
        <w:rPr>
          <w:rFonts w:ascii="Arial" w:hAnsi="Arial" w:cs="Arial"/>
          <w:b/>
          <w:bCs/>
          <w:sz w:val="28"/>
          <w:szCs w:val="28"/>
        </w:rPr>
        <w:t>SUJET</w:t>
      </w:r>
      <w:r w:rsidR="00D45524" w:rsidRPr="00E322D0">
        <w:rPr>
          <w:rFonts w:ascii="Arial" w:hAnsi="Arial" w:cs="Arial"/>
          <w:b/>
          <w:bCs/>
          <w:sz w:val="28"/>
          <w:szCs w:val="28"/>
        </w:rPr>
        <w:t xml:space="preserve"> 1 </w:t>
      </w:r>
    </w:p>
    <w:p w14:paraId="79EBF599" w14:textId="77777777" w:rsidR="003241BC" w:rsidRPr="0022763C" w:rsidRDefault="003241BC" w:rsidP="003241BC">
      <w:pPr>
        <w:spacing w:before="120" w:after="120" w:line="240" w:lineRule="auto"/>
        <w:jc w:val="both"/>
        <w:rPr>
          <w:rFonts w:ascii="Arial" w:hAnsi="Arial" w:cs="Arial"/>
          <w:b/>
          <w:bCs/>
          <w:sz w:val="24"/>
          <w:szCs w:val="24"/>
        </w:rPr>
      </w:pPr>
      <w:bookmarkStart w:id="5" w:name="_Hlk57821839"/>
      <w:r w:rsidRPr="0022763C">
        <w:rPr>
          <w:rFonts w:ascii="Arial" w:hAnsi="Arial" w:cs="Arial"/>
          <w:b/>
          <w:bCs/>
          <w:sz w:val="24"/>
          <w:szCs w:val="24"/>
        </w:rPr>
        <w:t>À partir de vos connaissances et de la documentation fournie en annexe :</w:t>
      </w:r>
    </w:p>
    <w:p w14:paraId="6C39DD19" w14:textId="77777777" w:rsidR="003241BC" w:rsidRPr="00AD5542" w:rsidRDefault="003241BC" w:rsidP="003241BC">
      <w:pPr>
        <w:spacing w:before="120" w:after="120" w:line="240" w:lineRule="auto"/>
        <w:jc w:val="both"/>
        <w:rPr>
          <w:rFonts w:ascii="Arial" w:hAnsi="Arial" w:cs="Arial"/>
          <w:sz w:val="24"/>
          <w:szCs w:val="24"/>
        </w:rPr>
      </w:pPr>
    </w:p>
    <w:p w14:paraId="02E4054B" w14:textId="77777777" w:rsidR="003241BC" w:rsidRPr="00DA6177" w:rsidRDefault="003241BC" w:rsidP="003241BC">
      <w:pPr>
        <w:pStyle w:val="Paragraphedeliste"/>
        <w:numPr>
          <w:ilvl w:val="0"/>
          <w:numId w:val="2"/>
        </w:numPr>
        <w:spacing w:before="120" w:after="120" w:line="240" w:lineRule="auto"/>
        <w:contextualSpacing w:val="0"/>
        <w:jc w:val="both"/>
        <w:rPr>
          <w:rFonts w:ascii="Arial" w:hAnsi="Arial" w:cs="Arial"/>
          <w:b/>
          <w:sz w:val="24"/>
          <w:szCs w:val="24"/>
        </w:rPr>
      </w:pPr>
      <w:r w:rsidRPr="00DA6177">
        <w:rPr>
          <w:rFonts w:ascii="Arial" w:hAnsi="Arial" w:cs="Arial"/>
          <w:b/>
          <w:sz w:val="24"/>
          <w:szCs w:val="24"/>
        </w:rPr>
        <w:t>Retrouvez par le calcul le taux d’épargne de l’ensemble des ménages.</w:t>
      </w:r>
    </w:p>
    <w:p w14:paraId="00ABAF72" w14:textId="77777777" w:rsidR="003241BC" w:rsidRPr="00DA6177" w:rsidRDefault="003241BC" w:rsidP="003241BC">
      <w:pPr>
        <w:pStyle w:val="Paragraphedeliste"/>
        <w:numPr>
          <w:ilvl w:val="0"/>
          <w:numId w:val="2"/>
        </w:numPr>
        <w:spacing w:before="120" w:after="120" w:line="240" w:lineRule="auto"/>
        <w:contextualSpacing w:val="0"/>
        <w:jc w:val="both"/>
        <w:rPr>
          <w:rFonts w:ascii="Arial" w:hAnsi="Arial" w:cs="Arial"/>
          <w:b/>
          <w:sz w:val="24"/>
          <w:szCs w:val="24"/>
        </w:rPr>
      </w:pPr>
      <w:r w:rsidRPr="00DA6177">
        <w:rPr>
          <w:rFonts w:ascii="Arial" w:hAnsi="Arial" w:cs="Arial"/>
          <w:b/>
          <w:sz w:val="24"/>
          <w:szCs w:val="24"/>
        </w:rPr>
        <w:t>Identifiez les déterminants de l’épargne des ménages français.</w:t>
      </w:r>
    </w:p>
    <w:p w14:paraId="55764770" w14:textId="77777777" w:rsidR="003241BC" w:rsidRPr="00DA6177" w:rsidRDefault="003241BC" w:rsidP="003241BC">
      <w:pPr>
        <w:pStyle w:val="Paragraphedeliste"/>
        <w:numPr>
          <w:ilvl w:val="0"/>
          <w:numId w:val="2"/>
        </w:numPr>
        <w:spacing w:before="120" w:after="120" w:line="240" w:lineRule="auto"/>
        <w:contextualSpacing w:val="0"/>
        <w:jc w:val="both"/>
        <w:rPr>
          <w:rFonts w:ascii="Arial" w:hAnsi="Arial" w:cs="Arial"/>
          <w:b/>
          <w:sz w:val="24"/>
          <w:szCs w:val="24"/>
        </w:rPr>
      </w:pPr>
      <w:r w:rsidRPr="00DA6177">
        <w:rPr>
          <w:rFonts w:ascii="Arial" w:hAnsi="Arial" w:cs="Arial"/>
          <w:b/>
          <w:sz w:val="24"/>
          <w:szCs w:val="24"/>
        </w:rPr>
        <w:t>Comparez l’évolution du taux d’épargne des ménages selon le quintile de revenus.</w:t>
      </w:r>
    </w:p>
    <w:p w14:paraId="359F65CE" w14:textId="77777777" w:rsidR="003241BC" w:rsidRPr="00DA6177" w:rsidRDefault="003241BC" w:rsidP="003241BC">
      <w:pPr>
        <w:pStyle w:val="Paragraphedeliste"/>
        <w:numPr>
          <w:ilvl w:val="0"/>
          <w:numId w:val="2"/>
        </w:numPr>
        <w:spacing w:before="120" w:after="120" w:line="240" w:lineRule="auto"/>
        <w:contextualSpacing w:val="0"/>
        <w:jc w:val="both"/>
        <w:rPr>
          <w:rFonts w:ascii="Arial" w:hAnsi="Arial" w:cs="Arial"/>
          <w:b/>
          <w:sz w:val="24"/>
          <w:szCs w:val="24"/>
        </w:rPr>
      </w:pPr>
      <w:r w:rsidRPr="00DA6177">
        <w:rPr>
          <w:rFonts w:ascii="Arial" w:hAnsi="Arial" w:cs="Arial"/>
          <w:b/>
          <w:sz w:val="24"/>
          <w:szCs w:val="24"/>
        </w:rPr>
        <w:t>Montrez qu’il existe un lien entre les niveaux de revenu, d’épargne et de patrimoine pour les ménages.</w:t>
      </w:r>
    </w:p>
    <w:p w14:paraId="3F115991" w14:textId="77777777" w:rsidR="003241BC" w:rsidRPr="00DA6177" w:rsidRDefault="003241BC" w:rsidP="003241BC">
      <w:pPr>
        <w:pStyle w:val="Paragraphedeliste"/>
        <w:numPr>
          <w:ilvl w:val="0"/>
          <w:numId w:val="2"/>
        </w:numPr>
        <w:spacing w:before="120" w:after="120" w:line="240" w:lineRule="auto"/>
        <w:contextualSpacing w:val="0"/>
        <w:jc w:val="both"/>
        <w:rPr>
          <w:rFonts w:ascii="Arial" w:hAnsi="Arial" w:cs="Arial"/>
          <w:b/>
          <w:sz w:val="24"/>
          <w:szCs w:val="24"/>
        </w:rPr>
      </w:pPr>
      <w:r w:rsidRPr="00DA6177">
        <w:rPr>
          <w:rFonts w:ascii="Arial" w:hAnsi="Arial" w:cs="Arial"/>
          <w:b/>
          <w:sz w:val="24"/>
          <w:szCs w:val="24"/>
        </w:rPr>
        <w:t xml:space="preserve">Rédigez une argumentation qui vous permette de répondre à la question suivante : </w:t>
      </w:r>
    </w:p>
    <w:p w14:paraId="17A5DF54" w14:textId="77777777" w:rsidR="003241BC" w:rsidRPr="002613D4" w:rsidRDefault="003241BC" w:rsidP="003241BC">
      <w:pPr>
        <w:pStyle w:val="Paragraphedeliste"/>
        <w:spacing w:before="120" w:after="120" w:line="240" w:lineRule="auto"/>
        <w:contextualSpacing w:val="0"/>
        <w:rPr>
          <w:rFonts w:ascii="Arial" w:hAnsi="Arial" w:cs="Arial"/>
          <w:b/>
          <w:bCs/>
          <w:sz w:val="24"/>
          <w:szCs w:val="24"/>
        </w:rPr>
      </w:pPr>
    </w:p>
    <w:p w14:paraId="51755036" w14:textId="77777777" w:rsidR="003241BC" w:rsidRPr="002613D4" w:rsidRDefault="003241BC" w:rsidP="003241BC">
      <w:pPr>
        <w:spacing w:before="120" w:after="120" w:line="240" w:lineRule="auto"/>
        <w:jc w:val="center"/>
        <w:rPr>
          <w:rFonts w:ascii="Arial" w:hAnsi="Arial" w:cs="Arial"/>
          <w:b/>
          <w:bCs/>
          <w:sz w:val="24"/>
          <w:szCs w:val="24"/>
        </w:rPr>
      </w:pPr>
      <w:r w:rsidRPr="002613D4">
        <w:rPr>
          <w:rFonts w:ascii="Arial" w:hAnsi="Arial" w:cs="Arial"/>
          <w:b/>
          <w:bCs/>
          <w:sz w:val="24"/>
          <w:szCs w:val="24"/>
        </w:rPr>
        <w:t>L</w:t>
      </w:r>
      <w:r>
        <w:rPr>
          <w:rFonts w:ascii="Arial" w:hAnsi="Arial" w:cs="Arial"/>
          <w:b/>
          <w:bCs/>
          <w:sz w:val="24"/>
          <w:szCs w:val="24"/>
        </w:rPr>
        <w:t>es inégalités socio-économiques expliquent-elles les différences de taux d’épargne entre les ménages français</w:t>
      </w:r>
      <w:r w:rsidRPr="002613D4">
        <w:rPr>
          <w:rFonts w:ascii="Arial" w:hAnsi="Arial" w:cs="Arial"/>
          <w:b/>
          <w:bCs/>
          <w:sz w:val="24"/>
          <w:szCs w:val="24"/>
        </w:rPr>
        <w:t>? </w:t>
      </w:r>
    </w:p>
    <w:bookmarkEnd w:id="5"/>
    <w:p w14:paraId="1C931863" w14:textId="77777777" w:rsidR="003241BC" w:rsidRDefault="003241BC" w:rsidP="003241BC">
      <w:pPr>
        <w:spacing w:before="120" w:after="120" w:line="240" w:lineRule="auto"/>
        <w:jc w:val="both"/>
        <w:rPr>
          <w:rFonts w:ascii="Arial" w:hAnsi="Arial" w:cs="Arial"/>
          <w:b/>
          <w:bCs/>
          <w:sz w:val="24"/>
          <w:szCs w:val="24"/>
        </w:rPr>
      </w:pPr>
    </w:p>
    <w:p w14:paraId="521B4F9A" w14:textId="77777777" w:rsidR="003241BC" w:rsidRDefault="003241BC" w:rsidP="003241BC">
      <w:pPr>
        <w:spacing w:before="120" w:after="120" w:line="240" w:lineRule="auto"/>
        <w:jc w:val="both"/>
        <w:rPr>
          <w:rFonts w:ascii="Arial" w:hAnsi="Arial" w:cs="Arial"/>
          <w:b/>
          <w:bCs/>
          <w:sz w:val="24"/>
          <w:szCs w:val="24"/>
        </w:rPr>
      </w:pPr>
    </w:p>
    <w:p w14:paraId="7CC9A547" w14:textId="77777777" w:rsidR="003241BC" w:rsidRDefault="003241BC" w:rsidP="003241BC">
      <w:pPr>
        <w:spacing w:before="120" w:after="120" w:line="240" w:lineRule="auto"/>
        <w:jc w:val="both"/>
        <w:rPr>
          <w:rFonts w:ascii="Arial" w:hAnsi="Arial" w:cs="Arial"/>
          <w:b/>
          <w:bCs/>
          <w:sz w:val="24"/>
          <w:szCs w:val="24"/>
        </w:rPr>
      </w:pPr>
    </w:p>
    <w:p w14:paraId="5ED688EE" w14:textId="77777777" w:rsidR="003241BC" w:rsidRDefault="003241BC" w:rsidP="003241BC">
      <w:pPr>
        <w:spacing w:before="120" w:after="120" w:line="240" w:lineRule="auto"/>
        <w:jc w:val="both"/>
        <w:rPr>
          <w:rFonts w:ascii="Arial" w:hAnsi="Arial" w:cs="Arial"/>
          <w:b/>
          <w:bCs/>
          <w:sz w:val="24"/>
          <w:szCs w:val="24"/>
        </w:rPr>
      </w:pPr>
    </w:p>
    <w:p w14:paraId="67500147" w14:textId="77777777" w:rsidR="003241BC" w:rsidRDefault="003241BC" w:rsidP="003241BC">
      <w:pPr>
        <w:spacing w:before="120" w:after="120" w:line="240" w:lineRule="auto"/>
        <w:jc w:val="both"/>
        <w:rPr>
          <w:rFonts w:ascii="Arial" w:hAnsi="Arial" w:cs="Arial"/>
          <w:b/>
          <w:bCs/>
          <w:sz w:val="24"/>
          <w:szCs w:val="24"/>
        </w:rPr>
      </w:pPr>
    </w:p>
    <w:p w14:paraId="034DF370" w14:textId="77777777" w:rsidR="003241BC" w:rsidRDefault="003241BC" w:rsidP="003241BC">
      <w:pPr>
        <w:spacing w:before="120" w:after="120" w:line="240" w:lineRule="auto"/>
        <w:jc w:val="both"/>
        <w:rPr>
          <w:rFonts w:ascii="Arial" w:hAnsi="Arial" w:cs="Arial"/>
          <w:b/>
          <w:bCs/>
          <w:sz w:val="24"/>
          <w:szCs w:val="24"/>
        </w:rPr>
      </w:pPr>
    </w:p>
    <w:p w14:paraId="6080BFB7" w14:textId="77777777" w:rsidR="003241BC" w:rsidRDefault="003241BC" w:rsidP="003241BC">
      <w:pPr>
        <w:spacing w:before="120" w:after="120" w:line="240" w:lineRule="auto"/>
        <w:jc w:val="both"/>
        <w:rPr>
          <w:rFonts w:ascii="Arial" w:hAnsi="Arial" w:cs="Arial"/>
          <w:b/>
          <w:bCs/>
          <w:sz w:val="24"/>
          <w:szCs w:val="24"/>
        </w:rPr>
      </w:pPr>
      <w:r w:rsidRPr="002C7EEA">
        <w:rPr>
          <w:rFonts w:ascii="Arial" w:hAnsi="Arial" w:cs="Arial"/>
          <w:b/>
          <w:bCs/>
          <w:sz w:val="24"/>
          <w:szCs w:val="24"/>
          <w:u w:val="single"/>
        </w:rPr>
        <w:t>Annexes</w:t>
      </w:r>
      <w:r>
        <w:rPr>
          <w:rFonts w:ascii="Arial" w:hAnsi="Arial" w:cs="Arial"/>
          <w:b/>
          <w:bCs/>
          <w:sz w:val="24"/>
          <w:szCs w:val="24"/>
        </w:rPr>
        <w:t> :</w:t>
      </w:r>
    </w:p>
    <w:p w14:paraId="4647B9E2" w14:textId="77777777" w:rsidR="003241BC" w:rsidRDefault="003241BC" w:rsidP="003241BC">
      <w:pPr>
        <w:spacing w:before="120" w:after="120" w:line="240" w:lineRule="auto"/>
        <w:jc w:val="both"/>
        <w:rPr>
          <w:rFonts w:ascii="Arial" w:hAnsi="Arial" w:cs="Arial"/>
          <w:b/>
          <w:bCs/>
          <w:sz w:val="24"/>
          <w:szCs w:val="24"/>
        </w:rPr>
      </w:pPr>
    </w:p>
    <w:p w14:paraId="48B2DAE2" w14:textId="77777777" w:rsidR="003241BC" w:rsidRPr="00272EFF" w:rsidRDefault="003241BC" w:rsidP="003241BC">
      <w:pPr>
        <w:spacing w:before="120" w:after="120" w:line="240" w:lineRule="auto"/>
        <w:ind w:left="1560" w:hanging="1247"/>
        <w:rPr>
          <w:rFonts w:ascii="Arial" w:hAnsi="Arial" w:cs="Arial"/>
          <w:sz w:val="24"/>
          <w:szCs w:val="24"/>
        </w:rPr>
      </w:pPr>
      <w:r w:rsidRPr="00272EFF">
        <w:rPr>
          <w:rFonts w:ascii="Arial" w:hAnsi="Arial" w:cs="Arial"/>
          <w:sz w:val="24"/>
          <w:szCs w:val="24"/>
          <w:u w:val="single"/>
        </w:rPr>
        <w:t>Annexe 1</w:t>
      </w:r>
      <w:r w:rsidRPr="00272EFF">
        <w:rPr>
          <w:rFonts w:ascii="Arial" w:hAnsi="Arial" w:cs="Arial"/>
          <w:sz w:val="24"/>
          <w:szCs w:val="24"/>
        </w:rPr>
        <w:t>: Revenu, consommation et épargne annuelle en France.</w:t>
      </w:r>
    </w:p>
    <w:p w14:paraId="1083EA65" w14:textId="77777777" w:rsidR="003241BC" w:rsidRPr="00272EFF" w:rsidRDefault="003241BC" w:rsidP="003241BC">
      <w:pPr>
        <w:spacing w:before="120" w:after="120" w:line="240" w:lineRule="auto"/>
        <w:ind w:left="1560" w:hanging="1247"/>
        <w:rPr>
          <w:rFonts w:ascii="Arial" w:hAnsi="Arial" w:cs="Arial"/>
          <w:sz w:val="24"/>
          <w:szCs w:val="24"/>
        </w:rPr>
      </w:pPr>
      <w:r w:rsidRPr="00272EFF">
        <w:rPr>
          <w:rFonts w:ascii="Arial" w:hAnsi="Arial" w:cs="Arial"/>
          <w:sz w:val="24"/>
          <w:szCs w:val="24"/>
          <w:u w:val="single"/>
        </w:rPr>
        <w:t>Annexe 2</w:t>
      </w:r>
      <w:r w:rsidRPr="00272EFF">
        <w:rPr>
          <w:rFonts w:ascii="Arial" w:hAnsi="Arial" w:cs="Arial"/>
          <w:sz w:val="24"/>
          <w:szCs w:val="24"/>
        </w:rPr>
        <w:t>: Quels sont les ménages français qui épargnent le plus ?</w:t>
      </w:r>
    </w:p>
    <w:p w14:paraId="2FC3D373" w14:textId="77777777" w:rsidR="003241BC" w:rsidRPr="00272EFF" w:rsidRDefault="003241BC" w:rsidP="003241BC">
      <w:pPr>
        <w:spacing w:before="120" w:after="120" w:line="240" w:lineRule="auto"/>
        <w:ind w:left="1560" w:hanging="1247"/>
        <w:rPr>
          <w:rFonts w:ascii="Arial" w:hAnsi="Arial" w:cs="Arial"/>
          <w:sz w:val="24"/>
          <w:szCs w:val="24"/>
        </w:rPr>
      </w:pPr>
      <w:r w:rsidRPr="00272EFF">
        <w:rPr>
          <w:rFonts w:ascii="Arial" w:hAnsi="Arial" w:cs="Arial"/>
          <w:sz w:val="24"/>
          <w:szCs w:val="24"/>
          <w:u w:val="single"/>
        </w:rPr>
        <w:t>Annexe 3</w:t>
      </w:r>
      <w:r w:rsidRPr="00272EFF">
        <w:rPr>
          <w:rFonts w:ascii="Arial" w:hAnsi="Arial" w:cs="Arial"/>
          <w:sz w:val="24"/>
          <w:szCs w:val="24"/>
        </w:rPr>
        <w:t>: Taux d’épargne des ménages, un deuxième trimestre 2020 de tous les records.</w:t>
      </w:r>
    </w:p>
    <w:p w14:paraId="0693A372" w14:textId="77777777" w:rsidR="003241BC" w:rsidRPr="00272EFF" w:rsidRDefault="003241BC" w:rsidP="003241BC">
      <w:pPr>
        <w:spacing w:before="120" w:after="120" w:line="240" w:lineRule="auto"/>
        <w:ind w:left="1560" w:hanging="1247"/>
        <w:rPr>
          <w:rFonts w:ascii="Arial" w:hAnsi="Arial" w:cs="Arial"/>
          <w:sz w:val="24"/>
          <w:szCs w:val="24"/>
        </w:rPr>
      </w:pPr>
      <w:r w:rsidRPr="00272EFF">
        <w:rPr>
          <w:rFonts w:ascii="Arial" w:hAnsi="Arial" w:cs="Arial"/>
          <w:sz w:val="24"/>
          <w:szCs w:val="24"/>
          <w:u w:val="single"/>
        </w:rPr>
        <w:t>Annexe 4</w:t>
      </w:r>
      <w:r w:rsidRPr="00272EFF">
        <w:rPr>
          <w:rFonts w:ascii="Arial" w:hAnsi="Arial" w:cs="Arial"/>
          <w:sz w:val="24"/>
          <w:szCs w:val="24"/>
        </w:rPr>
        <w:t>: Taux d’épargne des ménages selon le quintile de revenus entre 2011 et 2017.</w:t>
      </w:r>
    </w:p>
    <w:p w14:paraId="68F1F686" w14:textId="77777777" w:rsidR="003241BC" w:rsidRPr="00272EFF" w:rsidRDefault="003241BC" w:rsidP="003241BC">
      <w:pPr>
        <w:spacing w:before="120" w:after="120" w:line="240" w:lineRule="auto"/>
        <w:ind w:left="1560" w:hanging="1247"/>
        <w:rPr>
          <w:rFonts w:ascii="Arial" w:hAnsi="Arial" w:cs="Arial"/>
          <w:sz w:val="24"/>
          <w:szCs w:val="24"/>
        </w:rPr>
      </w:pPr>
      <w:r w:rsidRPr="00272EFF">
        <w:rPr>
          <w:rFonts w:ascii="Arial" w:hAnsi="Arial" w:cs="Arial"/>
          <w:sz w:val="24"/>
          <w:szCs w:val="24"/>
          <w:u w:val="single"/>
        </w:rPr>
        <w:t>Annexe 5</w:t>
      </w:r>
      <w:r w:rsidRPr="00272EFF">
        <w:rPr>
          <w:rFonts w:ascii="Arial" w:hAnsi="Arial" w:cs="Arial"/>
          <w:sz w:val="24"/>
          <w:szCs w:val="24"/>
        </w:rPr>
        <w:t>: Des inégalités de patrimoine aux inégalités de revenus.</w:t>
      </w:r>
    </w:p>
    <w:p w14:paraId="258B4FAB" w14:textId="77777777" w:rsidR="00D45524" w:rsidRDefault="003241BC" w:rsidP="003241BC">
      <w:pPr>
        <w:ind w:left="1560" w:hanging="1276"/>
        <w:rPr>
          <w:rFonts w:ascii="Arial" w:hAnsi="Arial" w:cs="Arial"/>
          <w:b/>
          <w:bCs/>
          <w:sz w:val="28"/>
          <w:szCs w:val="28"/>
        </w:rPr>
      </w:pPr>
      <w:r w:rsidRPr="00272EFF">
        <w:rPr>
          <w:rFonts w:ascii="Arial" w:hAnsi="Arial" w:cs="Arial"/>
          <w:sz w:val="24"/>
          <w:szCs w:val="24"/>
          <w:u w:val="single"/>
        </w:rPr>
        <w:t>Annexe 6</w:t>
      </w:r>
      <w:r w:rsidRPr="00272EFF">
        <w:rPr>
          <w:rFonts w:ascii="Arial" w:hAnsi="Arial" w:cs="Arial"/>
          <w:sz w:val="24"/>
          <w:szCs w:val="24"/>
        </w:rPr>
        <w:t>: Taux de détention de patrimoine par grand type d’actifs en France en fonction de l’âge.</w:t>
      </w:r>
    </w:p>
    <w:p w14:paraId="6C7C168E" w14:textId="77777777" w:rsidR="003241BC" w:rsidRPr="003241BC" w:rsidRDefault="003241BC" w:rsidP="003241BC">
      <w:pPr>
        <w:spacing w:before="120" w:after="120" w:line="240" w:lineRule="auto"/>
        <w:rPr>
          <w:rFonts w:ascii="Arial" w:hAnsi="Arial" w:cs="Arial"/>
          <w:b/>
          <w:bCs/>
          <w:sz w:val="24"/>
          <w:szCs w:val="24"/>
        </w:rPr>
      </w:pPr>
      <w:r w:rsidRPr="003241BC">
        <w:rPr>
          <w:rFonts w:ascii="Arial" w:hAnsi="Arial" w:cs="Arial"/>
          <w:b/>
          <w:bCs/>
          <w:sz w:val="24"/>
          <w:szCs w:val="24"/>
          <w:u w:val="single"/>
        </w:rPr>
        <w:lastRenderedPageBreak/>
        <w:t>Annexe 1</w:t>
      </w:r>
      <w:r w:rsidRPr="003241BC">
        <w:rPr>
          <w:rFonts w:ascii="Arial" w:hAnsi="Arial" w:cs="Arial"/>
          <w:b/>
          <w:bCs/>
          <w:sz w:val="24"/>
          <w:szCs w:val="24"/>
        </w:rPr>
        <w:t>: Revenu, consommation et épargne annuelle en France.</w:t>
      </w:r>
    </w:p>
    <w:tbl>
      <w:tblPr>
        <w:tblStyle w:val="Grilledutableau1"/>
        <w:tblW w:w="0" w:type="auto"/>
        <w:jc w:val="center"/>
        <w:tblLook w:val="04A0" w:firstRow="1" w:lastRow="0" w:firstColumn="1" w:lastColumn="0" w:noHBand="0" w:noVBand="1"/>
      </w:tblPr>
      <w:tblGrid>
        <w:gridCol w:w="1808"/>
        <w:gridCol w:w="1806"/>
        <w:gridCol w:w="1831"/>
        <w:gridCol w:w="1808"/>
        <w:gridCol w:w="1809"/>
      </w:tblGrid>
      <w:tr w:rsidR="003241BC" w:rsidRPr="003241BC" w14:paraId="54FA05A9" w14:textId="77777777" w:rsidTr="009740D0">
        <w:trPr>
          <w:jc w:val="center"/>
        </w:trPr>
        <w:tc>
          <w:tcPr>
            <w:tcW w:w="1812" w:type="dxa"/>
          </w:tcPr>
          <w:p w14:paraId="6F7A31B4" w14:textId="77777777" w:rsidR="003241BC" w:rsidRPr="003241BC" w:rsidRDefault="003241BC" w:rsidP="003241BC">
            <w:pPr>
              <w:spacing w:before="120" w:after="120"/>
              <w:jc w:val="center"/>
              <w:rPr>
                <w:rFonts w:ascii="Arial" w:hAnsi="Arial" w:cs="Arial"/>
                <w:sz w:val="24"/>
                <w:szCs w:val="24"/>
              </w:rPr>
            </w:pPr>
          </w:p>
        </w:tc>
        <w:tc>
          <w:tcPr>
            <w:tcW w:w="1812" w:type="dxa"/>
          </w:tcPr>
          <w:p w14:paraId="3DD1CACA" w14:textId="77777777" w:rsidR="003241BC" w:rsidRPr="003241BC" w:rsidRDefault="003241BC" w:rsidP="003241BC">
            <w:pPr>
              <w:spacing w:before="120" w:after="120"/>
              <w:jc w:val="center"/>
              <w:rPr>
                <w:rFonts w:ascii="Arial" w:hAnsi="Arial" w:cs="Arial"/>
                <w:sz w:val="24"/>
                <w:szCs w:val="24"/>
              </w:rPr>
            </w:pPr>
            <w:r w:rsidRPr="003241BC">
              <w:rPr>
                <w:rFonts w:ascii="Arial" w:hAnsi="Arial" w:cs="Arial"/>
                <w:sz w:val="24"/>
                <w:szCs w:val="24"/>
              </w:rPr>
              <w:t>Revenu en euros</w:t>
            </w:r>
          </w:p>
        </w:tc>
        <w:tc>
          <w:tcPr>
            <w:tcW w:w="1831" w:type="dxa"/>
          </w:tcPr>
          <w:p w14:paraId="345D7FB9" w14:textId="77777777" w:rsidR="003241BC" w:rsidRPr="003241BC" w:rsidRDefault="003241BC" w:rsidP="003241BC">
            <w:pPr>
              <w:spacing w:before="120" w:after="120"/>
              <w:jc w:val="center"/>
              <w:rPr>
                <w:rFonts w:ascii="Arial" w:hAnsi="Arial" w:cs="Arial"/>
                <w:sz w:val="24"/>
                <w:szCs w:val="24"/>
              </w:rPr>
            </w:pPr>
            <w:r w:rsidRPr="003241BC">
              <w:rPr>
                <w:rFonts w:ascii="Arial" w:hAnsi="Arial" w:cs="Arial"/>
                <w:sz w:val="24"/>
                <w:szCs w:val="24"/>
              </w:rPr>
              <w:t>Consommation en euros</w:t>
            </w:r>
          </w:p>
        </w:tc>
        <w:tc>
          <w:tcPr>
            <w:tcW w:w="1813" w:type="dxa"/>
          </w:tcPr>
          <w:p w14:paraId="01F9BBF8" w14:textId="77777777" w:rsidR="003241BC" w:rsidRPr="003241BC" w:rsidRDefault="003241BC" w:rsidP="003241BC">
            <w:pPr>
              <w:spacing w:before="120" w:after="120"/>
              <w:jc w:val="center"/>
              <w:rPr>
                <w:rFonts w:ascii="Arial" w:hAnsi="Arial" w:cs="Arial"/>
                <w:sz w:val="24"/>
                <w:szCs w:val="24"/>
              </w:rPr>
            </w:pPr>
            <w:r w:rsidRPr="003241BC">
              <w:rPr>
                <w:rFonts w:ascii="Arial" w:hAnsi="Arial" w:cs="Arial"/>
                <w:sz w:val="24"/>
                <w:szCs w:val="24"/>
              </w:rPr>
              <w:t>Épargne en euros</w:t>
            </w:r>
          </w:p>
        </w:tc>
        <w:tc>
          <w:tcPr>
            <w:tcW w:w="1813" w:type="dxa"/>
          </w:tcPr>
          <w:p w14:paraId="64ACD1D0" w14:textId="77777777" w:rsidR="003241BC" w:rsidRPr="003241BC" w:rsidRDefault="003241BC" w:rsidP="003241BC">
            <w:pPr>
              <w:spacing w:before="120" w:after="120"/>
              <w:jc w:val="center"/>
              <w:rPr>
                <w:rFonts w:ascii="Arial" w:hAnsi="Arial" w:cs="Arial"/>
                <w:sz w:val="24"/>
                <w:szCs w:val="24"/>
              </w:rPr>
            </w:pPr>
            <w:r w:rsidRPr="003241BC">
              <w:rPr>
                <w:rFonts w:ascii="Arial" w:hAnsi="Arial" w:cs="Arial"/>
                <w:sz w:val="24"/>
                <w:szCs w:val="24"/>
              </w:rPr>
              <w:t>Taux d’épargne</w:t>
            </w:r>
          </w:p>
        </w:tc>
      </w:tr>
      <w:tr w:rsidR="003241BC" w:rsidRPr="003241BC" w14:paraId="732C6825" w14:textId="77777777" w:rsidTr="009740D0">
        <w:trPr>
          <w:jc w:val="center"/>
        </w:trPr>
        <w:tc>
          <w:tcPr>
            <w:tcW w:w="1812" w:type="dxa"/>
          </w:tcPr>
          <w:p w14:paraId="16B800DC" w14:textId="77777777" w:rsidR="003241BC" w:rsidRPr="003241BC" w:rsidRDefault="003241BC" w:rsidP="003241BC">
            <w:pPr>
              <w:spacing w:before="120" w:after="120"/>
              <w:contextualSpacing/>
              <w:rPr>
                <w:rFonts w:ascii="Arial" w:hAnsi="Arial" w:cs="Arial"/>
                <w:sz w:val="24"/>
                <w:szCs w:val="24"/>
              </w:rPr>
            </w:pPr>
            <w:r w:rsidRPr="003241BC">
              <w:rPr>
                <w:rFonts w:ascii="Arial" w:hAnsi="Arial" w:cs="Arial"/>
                <w:sz w:val="24"/>
                <w:szCs w:val="24"/>
              </w:rPr>
              <w:t>Ensemble des ménages</w:t>
            </w:r>
          </w:p>
        </w:tc>
        <w:tc>
          <w:tcPr>
            <w:tcW w:w="1812" w:type="dxa"/>
            <w:vAlign w:val="center"/>
          </w:tcPr>
          <w:p w14:paraId="2C05B0F2" w14:textId="77777777" w:rsidR="003241BC" w:rsidRPr="003241BC" w:rsidRDefault="003241BC" w:rsidP="003241BC">
            <w:pPr>
              <w:spacing w:before="120" w:after="120"/>
              <w:contextualSpacing/>
              <w:jc w:val="center"/>
              <w:rPr>
                <w:rFonts w:ascii="Arial" w:hAnsi="Arial" w:cs="Arial"/>
                <w:sz w:val="24"/>
                <w:szCs w:val="24"/>
              </w:rPr>
            </w:pPr>
            <w:bookmarkStart w:id="6" w:name="_Hlk57822630"/>
            <w:r w:rsidRPr="003241BC">
              <w:rPr>
                <w:rFonts w:ascii="Arial" w:hAnsi="Arial" w:cs="Arial"/>
                <w:sz w:val="24"/>
                <w:szCs w:val="24"/>
              </w:rPr>
              <w:t>45 101</w:t>
            </w:r>
            <w:bookmarkEnd w:id="6"/>
          </w:p>
        </w:tc>
        <w:tc>
          <w:tcPr>
            <w:tcW w:w="1831" w:type="dxa"/>
            <w:vAlign w:val="center"/>
          </w:tcPr>
          <w:p w14:paraId="7161F027" w14:textId="77777777" w:rsidR="003241BC" w:rsidRPr="003241BC" w:rsidRDefault="003241BC" w:rsidP="003241BC">
            <w:pPr>
              <w:spacing w:before="120" w:after="120"/>
              <w:contextualSpacing/>
              <w:jc w:val="center"/>
              <w:rPr>
                <w:rFonts w:ascii="Arial" w:hAnsi="Arial" w:cs="Arial"/>
                <w:sz w:val="24"/>
                <w:szCs w:val="24"/>
              </w:rPr>
            </w:pPr>
            <w:r w:rsidRPr="003241BC">
              <w:rPr>
                <w:rFonts w:ascii="Arial" w:hAnsi="Arial" w:cs="Arial"/>
                <w:sz w:val="24"/>
                <w:szCs w:val="24"/>
              </w:rPr>
              <w:t>37 548</w:t>
            </w:r>
          </w:p>
        </w:tc>
        <w:tc>
          <w:tcPr>
            <w:tcW w:w="1813" w:type="dxa"/>
            <w:vAlign w:val="center"/>
          </w:tcPr>
          <w:p w14:paraId="554709DE" w14:textId="77777777" w:rsidR="003241BC" w:rsidRPr="003241BC" w:rsidRDefault="003241BC" w:rsidP="003241BC">
            <w:pPr>
              <w:spacing w:before="120" w:after="120"/>
              <w:contextualSpacing/>
              <w:jc w:val="center"/>
              <w:rPr>
                <w:rFonts w:ascii="Arial" w:hAnsi="Arial" w:cs="Arial"/>
                <w:sz w:val="24"/>
                <w:szCs w:val="24"/>
              </w:rPr>
            </w:pPr>
            <w:bookmarkStart w:id="7" w:name="_Hlk57822608"/>
            <w:r w:rsidRPr="003241BC">
              <w:rPr>
                <w:rFonts w:ascii="Arial" w:hAnsi="Arial" w:cs="Arial"/>
                <w:sz w:val="24"/>
                <w:szCs w:val="24"/>
              </w:rPr>
              <w:t>7 553</w:t>
            </w:r>
            <w:bookmarkEnd w:id="7"/>
          </w:p>
        </w:tc>
        <w:tc>
          <w:tcPr>
            <w:tcW w:w="1813" w:type="dxa"/>
            <w:vAlign w:val="center"/>
          </w:tcPr>
          <w:p w14:paraId="215273AD" w14:textId="77777777" w:rsidR="003241BC" w:rsidRPr="003241BC" w:rsidRDefault="003241BC" w:rsidP="003241BC">
            <w:pPr>
              <w:spacing w:before="120" w:after="120"/>
              <w:contextualSpacing/>
              <w:jc w:val="center"/>
              <w:rPr>
                <w:rFonts w:ascii="Arial" w:hAnsi="Arial" w:cs="Arial"/>
                <w:sz w:val="24"/>
                <w:szCs w:val="24"/>
              </w:rPr>
            </w:pPr>
            <w:r w:rsidRPr="003241BC">
              <w:rPr>
                <w:rFonts w:ascii="Arial" w:hAnsi="Arial" w:cs="Arial"/>
                <w:sz w:val="24"/>
                <w:szCs w:val="24"/>
              </w:rPr>
              <w:t>17 %</w:t>
            </w:r>
          </w:p>
        </w:tc>
      </w:tr>
    </w:tbl>
    <w:p w14:paraId="09A44B68" w14:textId="77777777" w:rsidR="003241BC" w:rsidRPr="003241BC" w:rsidRDefault="003241BC" w:rsidP="003241BC">
      <w:pPr>
        <w:spacing w:before="120" w:after="120" w:line="240" w:lineRule="auto"/>
        <w:jc w:val="right"/>
        <w:rPr>
          <w:rFonts w:ascii="Arial" w:hAnsi="Arial" w:cs="Arial"/>
          <w:i/>
          <w:iCs/>
          <w:sz w:val="24"/>
          <w:szCs w:val="24"/>
        </w:rPr>
      </w:pPr>
      <w:r w:rsidRPr="003241BC">
        <w:rPr>
          <w:rFonts w:ascii="Arial" w:hAnsi="Arial" w:cs="Arial"/>
          <w:i/>
          <w:iCs/>
          <w:sz w:val="24"/>
          <w:szCs w:val="24"/>
        </w:rPr>
        <w:t>Source : « Revenu, consommation et épargne par catégorie de ménages en 2011. Comptes nationaux annuels », Insee Résultats, Insee, novembre 2017.</w:t>
      </w:r>
    </w:p>
    <w:p w14:paraId="7EED80E9" w14:textId="77777777" w:rsidR="003241BC" w:rsidRPr="003241BC" w:rsidRDefault="003241BC" w:rsidP="003241BC">
      <w:pPr>
        <w:spacing w:before="120" w:after="120" w:line="240" w:lineRule="auto"/>
        <w:rPr>
          <w:rFonts w:ascii="Arial" w:hAnsi="Arial" w:cs="Arial"/>
          <w:b/>
          <w:bCs/>
          <w:sz w:val="24"/>
          <w:szCs w:val="24"/>
        </w:rPr>
      </w:pPr>
    </w:p>
    <w:p w14:paraId="78776A52" w14:textId="77777777" w:rsidR="003241BC" w:rsidRPr="003241BC" w:rsidRDefault="003241BC" w:rsidP="003241BC">
      <w:pPr>
        <w:spacing w:before="120" w:after="120" w:line="240" w:lineRule="auto"/>
        <w:rPr>
          <w:rFonts w:ascii="Arial" w:hAnsi="Arial" w:cs="Arial"/>
          <w:b/>
          <w:bCs/>
          <w:sz w:val="24"/>
          <w:szCs w:val="24"/>
        </w:rPr>
      </w:pPr>
      <w:bookmarkStart w:id="8" w:name="_Hlk57818519"/>
      <w:r w:rsidRPr="003241BC">
        <w:rPr>
          <w:rFonts w:ascii="Arial" w:hAnsi="Arial" w:cs="Arial"/>
          <w:b/>
          <w:bCs/>
          <w:sz w:val="24"/>
          <w:szCs w:val="24"/>
          <w:u w:val="single"/>
        </w:rPr>
        <w:t>Annexe 2</w:t>
      </w:r>
      <w:r w:rsidRPr="003241BC">
        <w:rPr>
          <w:rFonts w:ascii="Arial" w:hAnsi="Arial" w:cs="Arial"/>
          <w:b/>
          <w:bCs/>
          <w:sz w:val="24"/>
          <w:szCs w:val="24"/>
        </w:rPr>
        <w:t>: Quels sont les ménages français qui épargnent le plus ?</w:t>
      </w:r>
    </w:p>
    <w:p w14:paraId="1836B969" w14:textId="77777777" w:rsidR="003241BC" w:rsidRPr="003241BC" w:rsidRDefault="003241BC" w:rsidP="003241BC">
      <w:pPr>
        <w:spacing w:before="120" w:after="120" w:line="240" w:lineRule="auto"/>
        <w:jc w:val="both"/>
        <w:rPr>
          <w:rFonts w:ascii="Arial" w:hAnsi="Arial" w:cs="Arial"/>
          <w:sz w:val="24"/>
          <w:szCs w:val="24"/>
        </w:rPr>
      </w:pPr>
      <w:bookmarkStart w:id="9" w:name="_Hlk57896882"/>
      <w:bookmarkEnd w:id="8"/>
      <w:r w:rsidRPr="003241BC">
        <w:rPr>
          <w:rFonts w:ascii="Arial" w:hAnsi="Arial" w:cs="Arial"/>
          <w:sz w:val="24"/>
          <w:szCs w:val="24"/>
        </w:rPr>
        <w:t>L’épargne augmente avec l’âge jusqu’à 60 ans</w:t>
      </w:r>
      <w:bookmarkEnd w:id="9"/>
      <w:r w:rsidRPr="003241BC">
        <w:rPr>
          <w:rFonts w:ascii="Arial" w:hAnsi="Arial" w:cs="Arial"/>
          <w:sz w:val="24"/>
          <w:szCs w:val="24"/>
        </w:rPr>
        <w:t>. Les revenus s’accroissent au fil de la vie professionnelle et les dépenses diminuent à la cinquantaine du fait du départ des enfants notamment : le niveau de l’épargne est alors à son maximum. Avec le passage à la retraite, on entre dans une nouvelle phase. Les revenus baissent nettement, ainsi que les dépenses de consommation et l’épargne. À partir de 70 ans, les revenus diminuent encore, mais moins que les dépenses, ce qui fait que l’épargne augmente à nouveau légèrement.</w:t>
      </w:r>
    </w:p>
    <w:p w14:paraId="0673C119" w14:textId="77777777" w:rsidR="003241BC" w:rsidRPr="003241BC" w:rsidRDefault="003241BC" w:rsidP="003241BC">
      <w:pPr>
        <w:spacing w:before="120" w:after="120" w:line="240" w:lineRule="auto"/>
        <w:jc w:val="both"/>
        <w:rPr>
          <w:rFonts w:ascii="Arial" w:hAnsi="Arial" w:cs="Arial"/>
          <w:sz w:val="24"/>
          <w:szCs w:val="24"/>
        </w:rPr>
      </w:pPr>
      <w:r w:rsidRPr="003241BC">
        <w:rPr>
          <w:rFonts w:ascii="Arial" w:hAnsi="Arial" w:cs="Arial"/>
          <w:sz w:val="24"/>
          <w:szCs w:val="24"/>
        </w:rPr>
        <w:t>En matière de bas de laine</w:t>
      </w:r>
      <w:r w:rsidRPr="003241BC">
        <w:rPr>
          <w:rFonts w:ascii="Arial" w:hAnsi="Arial" w:cs="Arial"/>
          <w:sz w:val="24"/>
          <w:szCs w:val="24"/>
          <w:vertAlign w:val="superscript"/>
        </w:rPr>
        <w:t>1</w:t>
      </w:r>
      <w:r w:rsidRPr="003241BC">
        <w:rPr>
          <w:rFonts w:ascii="Arial" w:hAnsi="Arial" w:cs="Arial"/>
          <w:sz w:val="24"/>
          <w:szCs w:val="24"/>
        </w:rPr>
        <w:t>, c’est le revenu qui fait la différence. Les 20 % du bas de l’échelle épargnent en moyenne 1 500 euros par an, soit l’équivalent de 7 % de leurs ressources. Ces 20 % rassemblent à la fois des ménages totalement démunis, qui ne font aucune économie, et des familles modestes, qui ne dépensent pas l’ensemble de leurs revenus et donc épargnent. À l’opposé, les 20 % les plus riches épargnent en moyenne 22 800 euros chaque année, soit presque 30 % de leur revenu ou encore l’équivalent de l’ensemble des revenus annuels des 20 % les plus pauvres. À l’intérieur de ce cinquième le plus riche, les écarts sont encore plus grands : on y trouve aussi bien le haut des couches moyennes que les ménages les plus riches du pays, dont les économies sont largement supérieures à 22 800 euros par an.</w:t>
      </w:r>
    </w:p>
    <w:p w14:paraId="21C3884B" w14:textId="77777777" w:rsidR="003241BC" w:rsidRPr="003241BC" w:rsidRDefault="003241BC" w:rsidP="003241BC">
      <w:pPr>
        <w:spacing w:before="120" w:after="120" w:line="240" w:lineRule="auto"/>
        <w:jc w:val="both"/>
        <w:rPr>
          <w:rFonts w:ascii="Arial" w:hAnsi="Arial" w:cs="Arial"/>
          <w:sz w:val="24"/>
          <w:szCs w:val="24"/>
        </w:rPr>
      </w:pPr>
      <w:r w:rsidRPr="003241BC">
        <w:rPr>
          <w:rFonts w:ascii="Arial" w:hAnsi="Arial" w:cs="Arial"/>
          <w:sz w:val="24"/>
          <w:szCs w:val="24"/>
          <w:vertAlign w:val="superscript"/>
        </w:rPr>
        <w:t>1</w:t>
      </w:r>
      <w:r w:rsidRPr="003241BC">
        <w:rPr>
          <w:rFonts w:ascii="Arial" w:hAnsi="Arial" w:cs="Arial"/>
          <w:sz w:val="24"/>
          <w:szCs w:val="24"/>
        </w:rPr>
        <w:t> </w:t>
      </w:r>
      <w:r w:rsidRPr="003241BC">
        <w:rPr>
          <w:rFonts w:ascii="Arial" w:hAnsi="Arial" w:cs="Arial"/>
          <w:sz w:val="20"/>
          <w:szCs w:val="20"/>
        </w:rPr>
        <w:t>synonyme d’épargne.</w:t>
      </w:r>
    </w:p>
    <w:p w14:paraId="65505F2A" w14:textId="77777777" w:rsidR="003241BC" w:rsidRPr="003241BC" w:rsidRDefault="003241BC" w:rsidP="003241BC">
      <w:pPr>
        <w:spacing w:before="120" w:after="120" w:line="240" w:lineRule="auto"/>
        <w:jc w:val="right"/>
        <w:rPr>
          <w:rFonts w:ascii="Arial" w:hAnsi="Arial" w:cs="Arial"/>
          <w:i/>
          <w:iCs/>
          <w:sz w:val="24"/>
          <w:szCs w:val="24"/>
          <w:shd w:val="clear" w:color="auto" w:fill="FFFFFF"/>
        </w:rPr>
      </w:pPr>
      <w:r w:rsidRPr="003241BC">
        <w:rPr>
          <w:rFonts w:ascii="Arial" w:hAnsi="Arial" w:cs="Arial"/>
          <w:i/>
          <w:iCs/>
          <w:sz w:val="24"/>
          <w:szCs w:val="24"/>
        </w:rPr>
        <w:t>Source : Centre d’observation de la société,</w:t>
      </w:r>
      <w:r w:rsidRPr="003241BC">
        <w:rPr>
          <w:rFonts w:ascii="Arial" w:hAnsi="Arial" w:cs="Arial"/>
          <w:i/>
          <w:iCs/>
          <w:sz w:val="24"/>
          <w:szCs w:val="24"/>
          <w:shd w:val="clear" w:color="auto" w:fill="FFFFFF"/>
        </w:rPr>
        <w:t xml:space="preserve"> 26 janvier 2018 ; </w:t>
      </w:r>
    </w:p>
    <w:p w14:paraId="575FB7C1" w14:textId="77777777" w:rsidR="003241BC" w:rsidRPr="003241BC" w:rsidRDefault="003241BC" w:rsidP="003241BC">
      <w:pPr>
        <w:spacing w:before="120" w:after="120" w:line="240" w:lineRule="auto"/>
        <w:jc w:val="right"/>
        <w:rPr>
          <w:rFonts w:ascii="Arial" w:hAnsi="Arial" w:cs="Arial"/>
          <w:i/>
          <w:iCs/>
          <w:sz w:val="24"/>
          <w:szCs w:val="24"/>
        </w:rPr>
      </w:pPr>
      <w:r w:rsidRPr="003241BC">
        <w:rPr>
          <w:rFonts w:ascii="Arial" w:hAnsi="Arial" w:cs="Arial"/>
          <w:i/>
          <w:iCs/>
          <w:sz w:val="24"/>
          <w:szCs w:val="24"/>
          <w:shd w:val="clear" w:color="auto" w:fill="FFFFFF"/>
        </w:rPr>
        <w:t>Observatoire des inégalités</w:t>
      </w:r>
    </w:p>
    <w:p w14:paraId="0E195DBA" w14:textId="77777777" w:rsidR="003241BC" w:rsidRPr="003241BC" w:rsidRDefault="003241BC" w:rsidP="003241BC">
      <w:pPr>
        <w:spacing w:before="120" w:after="120" w:line="240" w:lineRule="auto"/>
        <w:rPr>
          <w:rFonts w:ascii="Arial" w:hAnsi="Arial" w:cs="Arial"/>
          <w:b/>
          <w:bCs/>
        </w:rPr>
      </w:pPr>
    </w:p>
    <w:p w14:paraId="7E2D70A6" w14:textId="77777777" w:rsidR="003241BC" w:rsidRPr="003241BC" w:rsidRDefault="003241BC" w:rsidP="003241BC">
      <w:pPr>
        <w:spacing w:before="120" w:after="120" w:line="240" w:lineRule="auto"/>
        <w:jc w:val="both"/>
        <w:rPr>
          <w:rFonts w:ascii="Arial" w:hAnsi="Arial" w:cs="Arial"/>
          <w:b/>
          <w:bCs/>
          <w:sz w:val="24"/>
          <w:szCs w:val="24"/>
        </w:rPr>
      </w:pPr>
      <w:bookmarkStart w:id="10" w:name="_Hlk57818526"/>
      <w:r w:rsidRPr="003241BC">
        <w:rPr>
          <w:rFonts w:ascii="Arial" w:hAnsi="Arial" w:cs="Arial"/>
          <w:b/>
          <w:bCs/>
          <w:sz w:val="24"/>
          <w:szCs w:val="24"/>
          <w:u w:val="single"/>
        </w:rPr>
        <w:t>Annexe 3</w:t>
      </w:r>
      <w:r w:rsidRPr="003241BC">
        <w:rPr>
          <w:rFonts w:ascii="Arial" w:hAnsi="Arial" w:cs="Arial"/>
          <w:b/>
          <w:bCs/>
          <w:sz w:val="24"/>
          <w:szCs w:val="24"/>
        </w:rPr>
        <w:t>: Taux d’épargne des ménages, un deuxième trimestre 2020 de tous les records.</w:t>
      </w:r>
    </w:p>
    <w:bookmarkEnd w:id="10"/>
    <w:p w14:paraId="30478678" w14:textId="77777777" w:rsidR="003241BC" w:rsidRPr="003241BC" w:rsidRDefault="003241BC" w:rsidP="003241BC">
      <w:pPr>
        <w:spacing w:before="120" w:after="120" w:line="240" w:lineRule="auto"/>
        <w:jc w:val="both"/>
        <w:rPr>
          <w:rFonts w:ascii="Arial" w:hAnsi="Arial" w:cs="Arial"/>
          <w:sz w:val="24"/>
          <w:szCs w:val="24"/>
        </w:rPr>
      </w:pPr>
      <w:r w:rsidRPr="003241BC">
        <w:rPr>
          <w:rFonts w:ascii="Arial" w:hAnsi="Arial" w:cs="Arial"/>
          <w:sz w:val="24"/>
          <w:szCs w:val="24"/>
        </w:rPr>
        <w:t xml:space="preserve">Sans surprise </w:t>
      </w:r>
      <w:bookmarkStart w:id="11" w:name="_Hlk57897180"/>
      <w:r w:rsidRPr="003241BC">
        <w:rPr>
          <w:rFonts w:ascii="Arial" w:hAnsi="Arial" w:cs="Arial"/>
          <w:sz w:val="24"/>
          <w:szCs w:val="24"/>
        </w:rPr>
        <w:t>en raison de la période de confinement, le taux d’épargne des ménages a atteint, selon l’INSEE, plus de 27 % au deuxième trimestre (27,4 %). Ce taux d’épargne était de 15,1 % au dernier trimestre 2019</w:t>
      </w:r>
      <w:bookmarkEnd w:id="11"/>
      <w:r w:rsidRPr="003241BC">
        <w:rPr>
          <w:rFonts w:ascii="Arial" w:hAnsi="Arial" w:cs="Arial"/>
          <w:sz w:val="24"/>
          <w:szCs w:val="24"/>
        </w:rPr>
        <w:t xml:space="preserve"> et s’était élevé à 19,7 % au cours du premier du trimestre. Cette augmentation est imputable non seulement à la forte baisse de la consommation et au report des dépenses d’investissement mais aussi à la volonté des ménages de renforcer leur épargne de précaution dans un contexte fortement anxiogène. […]</w:t>
      </w:r>
    </w:p>
    <w:p w14:paraId="42FE6E4E" w14:textId="01982DC9" w:rsidR="003241BC" w:rsidRPr="003241BC" w:rsidRDefault="003241BC" w:rsidP="003241BC">
      <w:pPr>
        <w:spacing w:before="120" w:after="120" w:line="240" w:lineRule="auto"/>
        <w:jc w:val="both"/>
        <w:rPr>
          <w:rFonts w:ascii="Arial" w:hAnsi="Arial" w:cs="Arial"/>
          <w:sz w:val="24"/>
          <w:szCs w:val="24"/>
        </w:rPr>
      </w:pPr>
      <w:r w:rsidRPr="003241BC">
        <w:rPr>
          <w:rFonts w:ascii="Arial" w:hAnsi="Arial" w:cs="Arial"/>
          <w:sz w:val="24"/>
          <w:szCs w:val="24"/>
        </w:rPr>
        <w:t>Au sein de l’OCDE</w:t>
      </w:r>
      <w:r w:rsidR="00A1304D">
        <w:rPr>
          <w:rStyle w:val="Appelnotedebasdep"/>
          <w:rFonts w:ascii="Arial" w:hAnsi="Arial" w:cs="Arial"/>
          <w:sz w:val="24"/>
          <w:szCs w:val="24"/>
        </w:rPr>
        <w:footnoteReference w:id="1"/>
      </w:r>
      <w:r w:rsidRPr="003241BC">
        <w:rPr>
          <w:rFonts w:ascii="Arial" w:hAnsi="Arial" w:cs="Arial"/>
          <w:sz w:val="24"/>
          <w:szCs w:val="24"/>
        </w:rPr>
        <w:t xml:space="preserve"> il faut souligner que </w:t>
      </w:r>
      <w:bookmarkStart w:id="12" w:name="_Hlk57899225"/>
      <w:r w:rsidRPr="003241BC">
        <w:rPr>
          <w:rFonts w:ascii="Arial" w:hAnsi="Arial" w:cs="Arial"/>
          <w:sz w:val="24"/>
          <w:szCs w:val="24"/>
        </w:rPr>
        <w:t>les Français figurent parmi ceux dont les revenus ont les moins baissés grâce au soutien massif des pouvoirs publics.</w:t>
      </w:r>
      <w:bookmarkEnd w:id="12"/>
      <w:r w:rsidRPr="003241BC">
        <w:rPr>
          <w:rFonts w:ascii="Arial" w:hAnsi="Arial" w:cs="Arial"/>
          <w:sz w:val="24"/>
          <w:szCs w:val="24"/>
        </w:rPr>
        <w:t xml:space="preserve"> Certes, </w:t>
      </w:r>
      <w:r w:rsidRPr="003241BC">
        <w:rPr>
          <w:rFonts w:ascii="Arial" w:hAnsi="Arial" w:cs="Arial"/>
          <w:sz w:val="24"/>
          <w:szCs w:val="24"/>
        </w:rPr>
        <w:lastRenderedPageBreak/>
        <w:t xml:space="preserve">le revenu disponible brut des ménages a diminué de 2,3 % au cours du deuxième trimestre, après –0,3 % au premier. Il s’agit de sa plus forte baisse trimestrielle depuis 1949. La masse salariale reçue par les ménages s’est contractée de 10,0 % après –2,4 % au premier trimestre. Par ailleurs, les revenus du patrimoine ont été également affectés, avec une baisse de 2,9 % après –3,7%. </w:t>
      </w:r>
      <w:bookmarkStart w:id="13" w:name="_Hlk57899301"/>
      <w:r w:rsidRPr="003241BC">
        <w:rPr>
          <w:rFonts w:ascii="Arial" w:hAnsi="Arial" w:cs="Arial"/>
          <w:sz w:val="24"/>
          <w:szCs w:val="24"/>
        </w:rPr>
        <w:t>En contrepartie, les prestations sociales ont augmenté de +7,9 % après +2,3 %. Cette dernière est notamment due au versement des indemnités d’activité partielle</w:t>
      </w:r>
      <w:bookmarkEnd w:id="13"/>
      <w:r w:rsidRPr="003241BC">
        <w:rPr>
          <w:rFonts w:ascii="Arial" w:hAnsi="Arial" w:cs="Arial"/>
          <w:sz w:val="24"/>
          <w:szCs w:val="24"/>
        </w:rPr>
        <w:t xml:space="preserve"> et de l’aide exceptionnelle de solidarité liée à l’urgence sanitaire pour les ménages les plus précaires, mais également aux prestations liées au chômage et aux absences pour garde d’enfants. […]</w:t>
      </w:r>
    </w:p>
    <w:p w14:paraId="35DA6F78" w14:textId="77777777" w:rsidR="003241BC" w:rsidRPr="003241BC" w:rsidRDefault="003241BC" w:rsidP="003241BC">
      <w:pPr>
        <w:spacing w:before="120" w:after="120" w:line="240" w:lineRule="auto"/>
        <w:jc w:val="both"/>
        <w:rPr>
          <w:rFonts w:ascii="Arial" w:hAnsi="Arial" w:cs="Arial"/>
          <w:sz w:val="24"/>
          <w:szCs w:val="24"/>
        </w:rPr>
      </w:pPr>
      <w:r w:rsidRPr="003241BC">
        <w:rPr>
          <w:rFonts w:ascii="Arial" w:hAnsi="Arial" w:cs="Arial"/>
          <w:sz w:val="24"/>
          <w:szCs w:val="24"/>
        </w:rPr>
        <w:t xml:space="preserve">Fort logiquement, ce </w:t>
      </w:r>
      <w:bookmarkStart w:id="14" w:name="_Hlk57897307"/>
      <w:r w:rsidRPr="003241BC">
        <w:rPr>
          <w:rFonts w:ascii="Arial" w:hAnsi="Arial" w:cs="Arial"/>
          <w:sz w:val="24"/>
          <w:szCs w:val="24"/>
        </w:rPr>
        <w:t>sont les cadres vivant dans les grandes villes qui ont mis le plus d’argent de côté. Pouvant pratiquer le télétravail, ils ont été moins sujets à des pertes de revenus que les travailleurs indépendants ou les ouvriers. Par ailleurs, les urbains consomment plus en loisirs, en restauration et en transports que les ruraux. Avant, pendant et après le confinement, l’effort d’épargne est concentré chez les ménages les plus aisés.</w:t>
      </w:r>
    </w:p>
    <w:bookmarkEnd w:id="14"/>
    <w:p w14:paraId="62412B96" w14:textId="77777777" w:rsidR="003241BC" w:rsidRPr="003241BC" w:rsidRDefault="003241BC" w:rsidP="003241BC">
      <w:pPr>
        <w:spacing w:before="120" w:after="120" w:line="240" w:lineRule="auto"/>
        <w:jc w:val="right"/>
        <w:rPr>
          <w:rFonts w:ascii="Arial" w:hAnsi="Arial" w:cs="Arial"/>
          <w:i/>
          <w:iCs/>
          <w:sz w:val="24"/>
          <w:szCs w:val="24"/>
        </w:rPr>
      </w:pPr>
      <w:r w:rsidRPr="003241BC">
        <w:rPr>
          <w:rFonts w:ascii="Arial" w:hAnsi="Arial" w:cs="Arial"/>
          <w:i/>
          <w:iCs/>
          <w:sz w:val="24"/>
          <w:szCs w:val="24"/>
        </w:rPr>
        <w:t>Source : Le cercle de l’épargne, 31 août 2020</w:t>
      </w:r>
    </w:p>
    <w:p w14:paraId="79320742" w14:textId="77777777" w:rsidR="003241BC" w:rsidRPr="003241BC" w:rsidRDefault="003241BC" w:rsidP="003241BC">
      <w:pPr>
        <w:spacing w:before="120" w:after="120" w:line="240" w:lineRule="auto"/>
        <w:rPr>
          <w:rFonts w:ascii="Arial" w:hAnsi="Arial" w:cs="Arial"/>
          <w:b/>
          <w:bCs/>
        </w:rPr>
      </w:pPr>
    </w:p>
    <w:p w14:paraId="0F4D7327" w14:textId="77777777" w:rsidR="003241BC" w:rsidRPr="003241BC" w:rsidRDefault="003241BC" w:rsidP="003241BC">
      <w:pPr>
        <w:spacing w:before="120" w:after="120" w:line="240" w:lineRule="auto"/>
        <w:jc w:val="both"/>
        <w:rPr>
          <w:rFonts w:ascii="Arial" w:hAnsi="Arial" w:cs="Arial"/>
          <w:b/>
          <w:bCs/>
          <w:sz w:val="24"/>
          <w:szCs w:val="24"/>
        </w:rPr>
      </w:pPr>
      <w:r w:rsidRPr="003241BC">
        <w:rPr>
          <w:rFonts w:ascii="Arial" w:hAnsi="Arial" w:cs="Arial"/>
          <w:b/>
          <w:bCs/>
          <w:sz w:val="24"/>
          <w:szCs w:val="24"/>
          <w:u w:val="single"/>
        </w:rPr>
        <w:t>Annexe 4</w:t>
      </w:r>
      <w:r w:rsidRPr="003241BC">
        <w:rPr>
          <w:rFonts w:ascii="Arial" w:hAnsi="Arial" w:cs="Arial"/>
          <w:b/>
          <w:bCs/>
          <w:sz w:val="24"/>
          <w:szCs w:val="24"/>
        </w:rPr>
        <w:t> : Taux d’épargne des ménages selon le quintile de revenus entre 2011 et 2017.</w:t>
      </w:r>
    </w:p>
    <w:p w14:paraId="29476288" w14:textId="77777777" w:rsidR="003241BC" w:rsidRPr="003241BC" w:rsidRDefault="003241BC" w:rsidP="003241BC">
      <w:pPr>
        <w:spacing w:after="0" w:line="240" w:lineRule="auto"/>
        <w:rPr>
          <w:rFonts w:ascii="Arial" w:hAnsi="Arial" w:cs="Arial"/>
          <w:b/>
          <w:bCs/>
          <w:sz w:val="24"/>
          <w:szCs w:val="24"/>
        </w:rPr>
      </w:pPr>
      <w:r w:rsidRPr="003241BC">
        <w:rPr>
          <w:noProof/>
          <w:lang w:eastAsia="fr-FR"/>
        </w:rPr>
        <w:drawing>
          <wp:inline distT="0" distB="0" distL="0" distR="0" wp14:anchorId="6E51E330" wp14:editId="5685893E">
            <wp:extent cx="5779943" cy="4238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84142" cy="4241704"/>
                    </a:xfrm>
                    <a:prstGeom prst="rect">
                      <a:avLst/>
                    </a:prstGeom>
                  </pic:spPr>
                </pic:pic>
              </a:graphicData>
            </a:graphic>
          </wp:inline>
        </w:drawing>
      </w:r>
    </w:p>
    <w:p w14:paraId="329BBA33" w14:textId="77777777" w:rsidR="003241BC" w:rsidRPr="003241BC" w:rsidRDefault="003241BC" w:rsidP="003241BC">
      <w:pPr>
        <w:spacing w:after="0" w:line="240" w:lineRule="auto"/>
        <w:rPr>
          <w:rFonts w:ascii="Arial" w:hAnsi="Arial" w:cs="Arial"/>
          <w:bCs/>
          <w:sz w:val="20"/>
          <w:szCs w:val="20"/>
        </w:rPr>
      </w:pPr>
      <w:r w:rsidRPr="003241BC">
        <w:rPr>
          <w:rFonts w:ascii="Arial" w:hAnsi="Arial" w:cs="Arial"/>
          <w:bCs/>
          <w:sz w:val="20"/>
          <w:szCs w:val="20"/>
        </w:rPr>
        <w:t>1</w:t>
      </w:r>
      <w:r w:rsidRPr="003241BC">
        <w:rPr>
          <w:rFonts w:ascii="Arial" w:hAnsi="Arial" w:cs="Arial"/>
          <w:bCs/>
          <w:sz w:val="20"/>
          <w:szCs w:val="20"/>
          <w:vertAlign w:val="superscript"/>
        </w:rPr>
        <w:t>er</w:t>
      </w:r>
      <w:r w:rsidRPr="003241BC">
        <w:rPr>
          <w:rFonts w:ascii="Arial" w:hAnsi="Arial" w:cs="Arial"/>
          <w:bCs/>
          <w:sz w:val="20"/>
          <w:szCs w:val="20"/>
        </w:rPr>
        <w:t xml:space="preserve"> quintile : les 20% des ménages les moins riches.</w:t>
      </w:r>
    </w:p>
    <w:p w14:paraId="1B42F23F" w14:textId="77777777" w:rsidR="003241BC" w:rsidRPr="003241BC" w:rsidRDefault="003241BC" w:rsidP="003241BC">
      <w:pPr>
        <w:spacing w:after="0" w:line="240" w:lineRule="auto"/>
        <w:rPr>
          <w:rFonts w:ascii="Arial" w:hAnsi="Arial" w:cs="Arial"/>
          <w:bCs/>
          <w:sz w:val="20"/>
          <w:szCs w:val="20"/>
        </w:rPr>
      </w:pPr>
      <w:r w:rsidRPr="003241BC">
        <w:rPr>
          <w:rFonts w:ascii="Arial" w:hAnsi="Arial" w:cs="Arial"/>
          <w:bCs/>
          <w:sz w:val="20"/>
          <w:szCs w:val="20"/>
        </w:rPr>
        <w:t>5</w:t>
      </w:r>
      <w:r w:rsidRPr="003241BC">
        <w:rPr>
          <w:rFonts w:ascii="Arial" w:hAnsi="Arial" w:cs="Arial"/>
          <w:bCs/>
          <w:sz w:val="20"/>
          <w:szCs w:val="20"/>
          <w:vertAlign w:val="superscript"/>
        </w:rPr>
        <w:t>ème</w:t>
      </w:r>
      <w:r w:rsidRPr="003241BC">
        <w:rPr>
          <w:rFonts w:ascii="Arial" w:hAnsi="Arial" w:cs="Arial"/>
          <w:bCs/>
          <w:sz w:val="20"/>
          <w:szCs w:val="20"/>
        </w:rPr>
        <w:t xml:space="preserve"> quintile : les 20% des ménages les plus riches.</w:t>
      </w:r>
    </w:p>
    <w:p w14:paraId="74880AFF" w14:textId="77777777" w:rsidR="00A1304D" w:rsidRPr="00A1304D" w:rsidRDefault="00A1304D" w:rsidP="003241BC">
      <w:pPr>
        <w:spacing w:after="0" w:line="240" w:lineRule="auto"/>
        <w:jc w:val="right"/>
        <w:rPr>
          <w:rFonts w:ascii="Arial" w:hAnsi="Arial" w:cs="Arial"/>
          <w:i/>
          <w:iCs/>
          <w:sz w:val="14"/>
          <w:szCs w:val="24"/>
        </w:rPr>
      </w:pPr>
    </w:p>
    <w:p w14:paraId="72542BCE" w14:textId="7F5B819B" w:rsidR="003241BC" w:rsidRPr="003241BC" w:rsidRDefault="003241BC" w:rsidP="003241BC">
      <w:pPr>
        <w:spacing w:after="0" w:line="240" w:lineRule="auto"/>
        <w:jc w:val="right"/>
        <w:rPr>
          <w:rFonts w:ascii="Arial" w:hAnsi="Arial" w:cs="Arial"/>
          <w:i/>
          <w:iCs/>
          <w:sz w:val="24"/>
          <w:szCs w:val="24"/>
        </w:rPr>
      </w:pPr>
      <w:r w:rsidRPr="003241BC">
        <w:rPr>
          <w:rFonts w:ascii="Arial" w:hAnsi="Arial" w:cs="Arial"/>
          <w:i/>
          <w:iCs/>
          <w:sz w:val="24"/>
          <w:szCs w:val="24"/>
        </w:rPr>
        <w:t>Source : Insee Première, n°1815,17 septembre 2020</w:t>
      </w:r>
    </w:p>
    <w:p w14:paraId="7AEA0BFF" w14:textId="5DC54113" w:rsidR="003241BC" w:rsidRPr="003241BC" w:rsidRDefault="003241BC" w:rsidP="00A1304D">
      <w:pPr>
        <w:rPr>
          <w:rFonts w:ascii="Arial" w:hAnsi="Arial" w:cs="Arial"/>
          <w:b/>
          <w:bCs/>
          <w:sz w:val="24"/>
          <w:szCs w:val="24"/>
        </w:rPr>
      </w:pPr>
      <w:bookmarkStart w:id="15" w:name="_Hlk57818542"/>
      <w:r w:rsidRPr="00A1304D">
        <w:rPr>
          <w:rFonts w:ascii="Arial" w:hAnsi="Arial" w:cs="Arial"/>
          <w:bCs/>
          <w:sz w:val="20"/>
          <w:szCs w:val="20"/>
        </w:rPr>
        <w:br w:type="page"/>
      </w:r>
      <w:r w:rsidRPr="003241BC">
        <w:rPr>
          <w:rFonts w:ascii="Arial" w:hAnsi="Arial" w:cs="Arial"/>
          <w:b/>
          <w:bCs/>
          <w:sz w:val="24"/>
          <w:szCs w:val="24"/>
          <w:u w:val="single"/>
        </w:rPr>
        <w:lastRenderedPageBreak/>
        <w:t>Annexe 5</w:t>
      </w:r>
      <w:r w:rsidRPr="003241BC">
        <w:rPr>
          <w:rFonts w:ascii="Arial" w:hAnsi="Arial" w:cs="Arial"/>
          <w:b/>
          <w:bCs/>
          <w:sz w:val="24"/>
          <w:szCs w:val="24"/>
        </w:rPr>
        <w:t> : Des inégalités de patrimoine aux inégalités de revenus.</w:t>
      </w:r>
    </w:p>
    <w:bookmarkEnd w:id="15"/>
    <w:p w14:paraId="7FDB2AF9" w14:textId="77777777" w:rsidR="003241BC" w:rsidRPr="003241BC" w:rsidRDefault="003241BC" w:rsidP="003241BC">
      <w:pPr>
        <w:spacing w:before="120" w:after="120" w:line="240" w:lineRule="auto"/>
        <w:jc w:val="both"/>
        <w:rPr>
          <w:rFonts w:ascii="Arial" w:hAnsi="Arial" w:cs="Arial"/>
          <w:sz w:val="24"/>
          <w:szCs w:val="24"/>
        </w:rPr>
      </w:pPr>
      <w:r w:rsidRPr="003241BC">
        <w:rPr>
          <w:rFonts w:ascii="Arial" w:hAnsi="Arial" w:cs="Arial"/>
          <w:sz w:val="24"/>
          <w:szCs w:val="24"/>
        </w:rPr>
        <w:t xml:space="preserve">À partir des années 2000, l’évolution du niveau d’inégalité est dictée de plus en plus par les fluctuations des prix des actifs financiers. Quand ces derniers augmentent fortement, les inégalités progressent, quand ils baissent, le phénomène inverse est constaté. En revanche, </w:t>
      </w:r>
      <w:bookmarkStart w:id="16" w:name="_Hlk57901121"/>
      <w:r w:rsidRPr="003241BC">
        <w:rPr>
          <w:rFonts w:ascii="Arial" w:hAnsi="Arial" w:cs="Arial"/>
          <w:sz w:val="24"/>
          <w:szCs w:val="24"/>
        </w:rPr>
        <w:t>l’élévation des prix de l’immobilier tend à réduire les inégalités entre la classe moyenne et la classe des 10 % les mieux dotés dont le patrimoine comporte une part importante investie en actifs financiers.</w:t>
      </w:r>
      <w:bookmarkEnd w:id="16"/>
    </w:p>
    <w:p w14:paraId="160C7DAF" w14:textId="77777777" w:rsidR="003241BC" w:rsidRPr="003241BC" w:rsidRDefault="003241BC" w:rsidP="003241BC">
      <w:pPr>
        <w:spacing w:before="120" w:after="120" w:line="240" w:lineRule="auto"/>
        <w:jc w:val="both"/>
        <w:rPr>
          <w:rFonts w:ascii="Arial" w:hAnsi="Arial" w:cs="Arial"/>
          <w:sz w:val="24"/>
          <w:szCs w:val="24"/>
        </w:rPr>
      </w:pPr>
      <w:r w:rsidRPr="003241BC">
        <w:rPr>
          <w:rFonts w:ascii="Arial" w:hAnsi="Arial" w:cs="Arial"/>
          <w:sz w:val="24"/>
          <w:szCs w:val="24"/>
        </w:rPr>
        <w:t>Depuis le début du XXIe siècle, l’augmentation du coût du logement empêche, en particulier les jeunes actifs et les ménages les plus modestes, d’accéder à la propriété et cela malgré la baisse constante des taux d’intérêt.</w:t>
      </w:r>
    </w:p>
    <w:p w14:paraId="783E5359" w14:textId="77777777" w:rsidR="003241BC" w:rsidRPr="003241BC" w:rsidRDefault="003241BC" w:rsidP="003241BC">
      <w:pPr>
        <w:spacing w:before="120" w:after="120" w:line="240" w:lineRule="auto"/>
        <w:jc w:val="both"/>
        <w:rPr>
          <w:rFonts w:ascii="Arial" w:hAnsi="Arial" w:cs="Arial"/>
          <w:sz w:val="24"/>
          <w:szCs w:val="24"/>
        </w:rPr>
      </w:pPr>
      <w:r w:rsidRPr="003241BC">
        <w:rPr>
          <w:rFonts w:ascii="Arial" w:hAnsi="Arial" w:cs="Arial"/>
          <w:sz w:val="24"/>
          <w:szCs w:val="24"/>
        </w:rPr>
        <w:t>La montée des inégalités est également imputable à l’évolution de l’effort d’épargne. Celui-ci est de plus en plus concentré sur les 20 % des ménages les plus riches au niveau des revenus. Les 50 % les plus modestes n’épargnent pas.</w:t>
      </w:r>
    </w:p>
    <w:p w14:paraId="0A10870E" w14:textId="77777777" w:rsidR="003241BC" w:rsidRPr="003241BC" w:rsidRDefault="003241BC" w:rsidP="003241BC">
      <w:pPr>
        <w:spacing w:before="120" w:after="120" w:line="240" w:lineRule="auto"/>
        <w:jc w:val="both"/>
        <w:rPr>
          <w:rFonts w:ascii="Arial" w:hAnsi="Arial" w:cs="Arial"/>
          <w:sz w:val="24"/>
          <w:szCs w:val="24"/>
        </w:rPr>
      </w:pPr>
      <w:bookmarkStart w:id="17" w:name="_Hlk57899747"/>
      <w:r w:rsidRPr="003241BC">
        <w:rPr>
          <w:rFonts w:ascii="Arial" w:hAnsi="Arial" w:cs="Arial"/>
          <w:sz w:val="24"/>
          <w:szCs w:val="24"/>
        </w:rPr>
        <w:t>Les inégalités du patrimoine sont également la conséquence de celles portant sur les revenus ainsi que celles liées aux successions.</w:t>
      </w:r>
      <w:bookmarkEnd w:id="17"/>
    </w:p>
    <w:p w14:paraId="3719D22B" w14:textId="77777777" w:rsidR="003241BC" w:rsidRPr="003241BC" w:rsidRDefault="003241BC" w:rsidP="003241BC">
      <w:pPr>
        <w:spacing w:before="120" w:after="120" w:line="240" w:lineRule="auto"/>
        <w:jc w:val="right"/>
        <w:rPr>
          <w:rFonts w:ascii="Arial" w:hAnsi="Arial" w:cs="Arial"/>
          <w:i/>
          <w:iCs/>
          <w:sz w:val="24"/>
          <w:szCs w:val="24"/>
        </w:rPr>
      </w:pPr>
      <w:r w:rsidRPr="003241BC">
        <w:rPr>
          <w:rFonts w:ascii="Arial" w:hAnsi="Arial" w:cs="Arial"/>
          <w:i/>
          <w:iCs/>
          <w:sz w:val="24"/>
          <w:szCs w:val="24"/>
        </w:rPr>
        <w:t>Source : Le cercle de l’épargne, Mensuel n°76, juillet 2020</w:t>
      </w:r>
    </w:p>
    <w:p w14:paraId="74A08A4B" w14:textId="77777777" w:rsidR="003241BC" w:rsidRPr="003241BC" w:rsidRDefault="003241BC" w:rsidP="003241BC">
      <w:pPr>
        <w:spacing w:before="120" w:after="120" w:line="240" w:lineRule="auto"/>
        <w:jc w:val="both"/>
        <w:rPr>
          <w:rFonts w:ascii="Arial" w:hAnsi="Arial" w:cs="Arial"/>
          <w:sz w:val="24"/>
          <w:szCs w:val="24"/>
        </w:rPr>
      </w:pPr>
    </w:p>
    <w:p w14:paraId="4DE654CF" w14:textId="77777777" w:rsidR="003241BC" w:rsidRPr="003241BC" w:rsidRDefault="003241BC" w:rsidP="003241BC">
      <w:pPr>
        <w:spacing w:before="120" w:after="120" w:line="240" w:lineRule="auto"/>
        <w:jc w:val="both"/>
        <w:rPr>
          <w:rFonts w:ascii="Arial" w:hAnsi="Arial" w:cs="Arial"/>
          <w:b/>
          <w:bCs/>
          <w:sz w:val="24"/>
          <w:szCs w:val="24"/>
        </w:rPr>
      </w:pPr>
      <w:r w:rsidRPr="003241BC">
        <w:rPr>
          <w:rFonts w:ascii="Arial" w:hAnsi="Arial" w:cs="Arial"/>
          <w:b/>
          <w:bCs/>
          <w:sz w:val="24"/>
          <w:szCs w:val="24"/>
          <w:u w:val="single"/>
        </w:rPr>
        <w:t>Annexe 6</w:t>
      </w:r>
      <w:r w:rsidRPr="003241BC">
        <w:rPr>
          <w:rFonts w:ascii="Arial" w:hAnsi="Arial" w:cs="Arial"/>
          <w:b/>
          <w:bCs/>
          <w:sz w:val="24"/>
          <w:szCs w:val="24"/>
        </w:rPr>
        <w:t> : Taux de détention de patrimoine par grand type d’actifs en France en fonction de l’âge.</w:t>
      </w:r>
    </w:p>
    <w:tbl>
      <w:tblPr>
        <w:tblStyle w:val="Grilledutableau1"/>
        <w:tblW w:w="0" w:type="auto"/>
        <w:tblLook w:val="04A0" w:firstRow="1" w:lastRow="0" w:firstColumn="1" w:lastColumn="0" w:noHBand="0" w:noVBand="1"/>
      </w:tblPr>
      <w:tblGrid>
        <w:gridCol w:w="1207"/>
        <w:gridCol w:w="1378"/>
        <w:gridCol w:w="810"/>
        <w:gridCol w:w="811"/>
        <w:gridCol w:w="811"/>
        <w:gridCol w:w="811"/>
        <w:gridCol w:w="811"/>
        <w:gridCol w:w="811"/>
        <w:gridCol w:w="811"/>
        <w:gridCol w:w="811"/>
      </w:tblGrid>
      <w:tr w:rsidR="003241BC" w:rsidRPr="003241BC" w14:paraId="3F51363C" w14:textId="77777777" w:rsidTr="009740D0">
        <w:tc>
          <w:tcPr>
            <w:tcW w:w="1118" w:type="dxa"/>
            <w:tcBorders>
              <w:top w:val="nil"/>
              <w:left w:val="nil"/>
              <w:right w:val="nil"/>
            </w:tcBorders>
            <w:vAlign w:val="center"/>
          </w:tcPr>
          <w:p w14:paraId="185062E4" w14:textId="77777777" w:rsidR="003241BC" w:rsidRPr="003241BC" w:rsidRDefault="003241BC" w:rsidP="003241BC">
            <w:pPr>
              <w:jc w:val="right"/>
              <w:rPr>
                <w:rFonts w:ascii="Arial" w:hAnsi="Arial" w:cs="Arial"/>
                <w:i/>
                <w:sz w:val="20"/>
                <w:szCs w:val="20"/>
              </w:rPr>
            </w:pPr>
          </w:p>
        </w:tc>
        <w:tc>
          <w:tcPr>
            <w:tcW w:w="1272" w:type="dxa"/>
            <w:tcBorders>
              <w:top w:val="nil"/>
              <w:left w:val="nil"/>
              <w:right w:val="nil"/>
            </w:tcBorders>
            <w:vAlign w:val="center"/>
          </w:tcPr>
          <w:p w14:paraId="5EEE8890" w14:textId="77777777" w:rsidR="003241BC" w:rsidRPr="003241BC" w:rsidRDefault="003241BC" w:rsidP="003241BC">
            <w:pPr>
              <w:jc w:val="right"/>
              <w:rPr>
                <w:rFonts w:ascii="Arial" w:hAnsi="Arial" w:cs="Arial"/>
                <w:i/>
                <w:sz w:val="20"/>
                <w:szCs w:val="20"/>
              </w:rPr>
            </w:pPr>
          </w:p>
        </w:tc>
        <w:tc>
          <w:tcPr>
            <w:tcW w:w="862" w:type="dxa"/>
            <w:tcBorders>
              <w:top w:val="nil"/>
              <w:left w:val="nil"/>
              <w:right w:val="nil"/>
            </w:tcBorders>
            <w:vAlign w:val="center"/>
          </w:tcPr>
          <w:p w14:paraId="7FF9DDF1" w14:textId="77777777" w:rsidR="003241BC" w:rsidRPr="003241BC" w:rsidRDefault="003241BC" w:rsidP="003241BC">
            <w:pPr>
              <w:jc w:val="right"/>
              <w:rPr>
                <w:rFonts w:ascii="Arial" w:hAnsi="Arial" w:cs="Arial"/>
                <w:i/>
                <w:sz w:val="20"/>
                <w:szCs w:val="20"/>
              </w:rPr>
            </w:pPr>
          </w:p>
        </w:tc>
        <w:tc>
          <w:tcPr>
            <w:tcW w:w="862" w:type="dxa"/>
            <w:tcBorders>
              <w:top w:val="nil"/>
              <w:left w:val="nil"/>
              <w:right w:val="nil"/>
            </w:tcBorders>
            <w:vAlign w:val="center"/>
          </w:tcPr>
          <w:p w14:paraId="2FC45A64" w14:textId="77777777" w:rsidR="003241BC" w:rsidRPr="003241BC" w:rsidRDefault="003241BC" w:rsidP="003241BC">
            <w:pPr>
              <w:jc w:val="right"/>
              <w:rPr>
                <w:rFonts w:ascii="Arial" w:hAnsi="Arial" w:cs="Arial"/>
                <w:i/>
                <w:sz w:val="20"/>
                <w:szCs w:val="20"/>
              </w:rPr>
            </w:pPr>
          </w:p>
        </w:tc>
        <w:tc>
          <w:tcPr>
            <w:tcW w:w="862" w:type="dxa"/>
            <w:tcBorders>
              <w:top w:val="nil"/>
              <w:left w:val="nil"/>
              <w:right w:val="nil"/>
            </w:tcBorders>
            <w:vAlign w:val="center"/>
          </w:tcPr>
          <w:p w14:paraId="1ACC8147" w14:textId="77777777" w:rsidR="003241BC" w:rsidRPr="003241BC" w:rsidRDefault="003241BC" w:rsidP="003241BC">
            <w:pPr>
              <w:jc w:val="right"/>
              <w:rPr>
                <w:rFonts w:ascii="Arial" w:hAnsi="Arial" w:cs="Arial"/>
                <w:i/>
                <w:sz w:val="20"/>
                <w:szCs w:val="20"/>
              </w:rPr>
            </w:pPr>
          </w:p>
        </w:tc>
        <w:tc>
          <w:tcPr>
            <w:tcW w:w="862" w:type="dxa"/>
            <w:tcBorders>
              <w:top w:val="nil"/>
              <w:left w:val="nil"/>
              <w:right w:val="nil"/>
            </w:tcBorders>
            <w:vAlign w:val="center"/>
          </w:tcPr>
          <w:p w14:paraId="32883731" w14:textId="77777777" w:rsidR="003241BC" w:rsidRPr="003241BC" w:rsidRDefault="003241BC" w:rsidP="003241BC">
            <w:pPr>
              <w:jc w:val="right"/>
              <w:rPr>
                <w:rFonts w:ascii="Arial" w:hAnsi="Arial" w:cs="Arial"/>
                <w:i/>
                <w:sz w:val="20"/>
                <w:szCs w:val="20"/>
              </w:rPr>
            </w:pPr>
          </w:p>
        </w:tc>
        <w:tc>
          <w:tcPr>
            <w:tcW w:w="862" w:type="dxa"/>
            <w:tcBorders>
              <w:top w:val="nil"/>
              <w:left w:val="nil"/>
              <w:right w:val="nil"/>
            </w:tcBorders>
            <w:vAlign w:val="center"/>
          </w:tcPr>
          <w:p w14:paraId="2EBA27B2" w14:textId="77777777" w:rsidR="003241BC" w:rsidRPr="003241BC" w:rsidRDefault="003241BC" w:rsidP="003241BC">
            <w:pPr>
              <w:jc w:val="right"/>
              <w:rPr>
                <w:rFonts w:ascii="Arial" w:hAnsi="Arial" w:cs="Arial"/>
                <w:i/>
                <w:sz w:val="20"/>
                <w:szCs w:val="20"/>
              </w:rPr>
            </w:pPr>
          </w:p>
        </w:tc>
        <w:tc>
          <w:tcPr>
            <w:tcW w:w="862" w:type="dxa"/>
            <w:tcBorders>
              <w:top w:val="nil"/>
              <w:left w:val="nil"/>
              <w:right w:val="nil"/>
            </w:tcBorders>
            <w:vAlign w:val="center"/>
          </w:tcPr>
          <w:p w14:paraId="3691A9C9" w14:textId="77777777" w:rsidR="003241BC" w:rsidRPr="003241BC" w:rsidRDefault="003241BC" w:rsidP="003241BC">
            <w:pPr>
              <w:jc w:val="right"/>
              <w:rPr>
                <w:rFonts w:ascii="Arial" w:hAnsi="Arial" w:cs="Arial"/>
                <w:i/>
                <w:sz w:val="20"/>
                <w:szCs w:val="20"/>
              </w:rPr>
            </w:pPr>
          </w:p>
        </w:tc>
        <w:tc>
          <w:tcPr>
            <w:tcW w:w="863" w:type="dxa"/>
            <w:tcBorders>
              <w:top w:val="nil"/>
              <w:left w:val="nil"/>
              <w:right w:val="nil"/>
            </w:tcBorders>
            <w:vAlign w:val="center"/>
          </w:tcPr>
          <w:p w14:paraId="0D2B60DC" w14:textId="77777777" w:rsidR="003241BC" w:rsidRPr="003241BC" w:rsidRDefault="003241BC" w:rsidP="003241BC">
            <w:pPr>
              <w:jc w:val="right"/>
              <w:rPr>
                <w:rFonts w:ascii="Arial" w:hAnsi="Arial" w:cs="Arial"/>
                <w:i/>
                <w:sz w:val="20"/>
                <w:szCs w:val="20"/>
              </w:rPr>
            </w:pPr>
          </w:p>
        </w:tc>
        <w:tc>
          <w:tcPr>
            <w:tcW w:w="863" w:type="dxa"/>
            <w:tcBorders>
              <w:top w:val="nil"/>
              <w:left w:val="nil"/>
              <w:right w:val="nil"/>
            </w:tcBorders>
            <w:vAlign w:val="center"/>
          </w:tcPr>
          <w:p w14:paraId="542F8D6B" w14:textId="77777777" w:rsidR="003241BC" w:rsidRPr="003241BC" w:rsidRDefault="003241BC" w:rsidP="003241BC">
            <w:pPr>
              <w:jc w:val="right"/>
              <w:rPr>
                <w:rFonts w:ascii="Arial" w:hAnsi="Arial" w:cs="Arial"/>
                <w:i/>
                <w:sz w:val="20"/>
                <w:szCs w:val="20"/>
              </w:rPr>
            </w:pPr>
            <w:r w:rsidRPr="003241BC">
              <w:rPr>
                <w:rFonts w:ascii="Arial" w:hAnsi="Arial" w:cs="Arial"/>
                <w:i/>
                <w:sz w:val="20"/>
                <w:szCs w:val="20"/>
              </w:rPr>
              <w:t>En %</w:t>
            </w:r>
          </w:p>
        </w:tc>
      </w:tr>
      <w:tr w:rsidR="003241BC" w:rsidRPr="003241BC" w14:paraId="4C75E8F8" w14:textId="77777777" w:rsidTr="009740D0">
        <w:trPr>
          <w:cantSplit/>
          <w:trHeight w:val="1278"/>
        </w:trPr>
        <w:tc>
          <w:tcPr>
            <w:tcW w:w="1118" w:type="dxa"/>
            <w:vAlign w:val="center"/>
          </w:tcPr>
          <w:p w14:paraId="299A7902" w14:textId="1A1F2111" w:rsidR="003241BC" w:rsidRPr="00A1304D" w:rsidRDefault="00A1304D" w:rsidP="003241BC">
            <w:pPr>
              <w:rPr>
                <w:rFonts w:ascii="Arial" w:hAnsi="Arial" w:cs="Arial"/>
                <w:b/>
                <w:szCs w:val="20"/>
              </w:rPr>
            </w:pPr>
            <w:r w:rsidRPr="00A1304D">
              <w:rPr>
                <w:rFonts w:ascii="Arial" w:hAnsi="Arial" w:cs="Arial"/>
                <w:b/>
                <w:smallCaps/>
                <w:szCs w:val="20"/>
              </w:rPr>
              <w:t>â</w:t>
            </w:r>
            <w:r w:rsidR="003241BC" w:rsidRPr="00A1304D">
              <w:rPr>
                <w:rFonts w:ascii="Arial" w:hAnsi="Arial" w:cs="Arial"/>
                <w:b/>
                <w:szCs w:val="20"/>
              </w:rPr>
              <w:t>ge de la personne de référence du ménage</w:t>
            </w:r>
          </w:p>
        </w:tc>
        <w:tc>
          <w:tcPr>
            <w:tcW w:w="1272" w:type="dxa"/>
            <w:vAlign w:val="center"/>
          </w:tcPr>
          <w:p w14:paraId="26211A12" w14:textId="77777777" w:rsidR="003241BC" w:rsidRPr="00A1304D" w:rsidRDefault="003241BC" w:rsidP="003241BC">
            <w:pPr>
              <w:rPr>
                <w:rFonts w:ascii="Arial" w:hAnsi="Arial" w:cs="Arial"/>
                <w:b/>
                <w:szCs w:val="20"/>
              </w:rPr>
            </w:pPr>
            <w:r w:rsidRPr="00A1304D">
              <w:rPr>
                <w:rFonts w:ascii="Arial" w:hAnsi="Arial" w:cs="Arial"/>
                <w:b/>
                <w:szCs w:val="20"/>
              </w:rPr>
              <w:t>Répartition des ménages</w:t>
            </w:r>
          </w:p>
        </w:tc>
        <w:tc>
          <w:tcPr>
            <w:tcW w:w="862" w:type="dxa"/>
            <w:textDirection w:val="btLr"/>
            <w:vAlign w:val="center"/>
          </w:tcPr>
          <w:p w14:paraId="5EF1DDEF" w14:textId="77777777" w:rsidR="003241BC" w:rsidRPr="00A1304D" w:rsidRDefault="003241BC" w:rsidP="003241BC">
            <w:pPr>
              <w:ind w:left="113" w:right="113"/>
              <w:rPr>
                <w:rFonts w:ascii="Arial" w:hAnsi="Arial" w:cs="Arial"/>
                <w:b/>
                <w:szCs w:val="20"/>
              </w:rPr>
            </w:pPr>
            <w:r w:rsidRPr="00A1304D">
              <w:rPr>
                <w:rFonts w:ascii="Arial" w:hAnsi="Arial" w:cs="Arial"/>
                <w:b/>
                <w:szCs w:val="20"/>
              </w:rPr>
              <w:t>Livrets d’épargne</w:t>
            </w:r>
          </w:p>
        </w:tc>
        <w:tc>
          <w:tcPr>
            <w:tcW w:w="862" w:type="dxa"/>
            <w:textDirection w:val="btLr"/>
            <w:vAlign w:val="center"/>
          </w:tcPr>
          <w:p w14:paraId="7FDBF8E8" w14:textId="77777777" w:rsidR="003241BC" w:rsidRPr="00A1304D" w:rsidRDefault="003241BC" w:rsidP="003241BC">
            <w:pPr>
              <w:ind w:left="113" w:right="113"/>
              <w:rPr>
                <w:rFonts w:ascii="Arial" w:hAnsi="Arial" w:cs="Arial"/>
                <w:b/>
                <w:szCs w:val="20"/>
              </w:rPr>
            </w:pPr>
            <w:r w:rsidRPr="00A1304D">
              <w:rPr>
                <w:rFonts w:ascii="Arial" w:hAnsi="Arial" w:cs="Arial"/>
                <w:b/>
                <w:szCs w:val="20"/>
              </w:rPr>
              <w:t>Épargne-logement</w:t>
            </w:r>
          </w:p>
        </w:tc>
        <w:tc>
          <w:tcPr>
            <w:tcW w:w="862" w:type="dxa"/>
            <w:textDirection w:val="btLr"/>
            <w:vAlign w:val="center"/>
          </w:tcPr>
          <w:p w14:paraId="34E8C961" w14:textId="77777777" w:rsidR="003241BC" w:rsidRPr="00A1304D" w:rsidRDefault="003241BC" w:rsidP="003241BC">
            <w:pPr>
              <w:ind w:left="113" w:right="113"/>
              <w:rPr>
                <w:rFonts w:ascii="Arial" w:hAnsi="Arial" w:cs="Arial"/>
                <w:b/>
                <w:szCs w:val="20"/>
              </w:rPr>
            </w:pPr>
            <w:r w:rsidRPr="00A1304D">
              <w:rPr>
                <w:rFonts w:ascii="Arial" w:hAnsi="Arial" w:cs="Arial"/>
                <w:b/>
                <w:szCs w:val="20"/>
              </w:rPr>
              <w:t>Valeurs mobilières</w:t>
            </w:r>
          </w:p>
        </w:tc>
        <w:tc>
          <w:tcPr>
            <w:tcW w:w="862" w:type="dxa"/>
            <w:textDirection w:val="btLr"/>
            <w:vAlign w:val="center"/>
          </w:tcPr>
          <w:p w14:paraId="618253B2" w14:textId="77777777" w:rsidR="003241BC" w:rsidRPr="00A1304D" w:rsidRDefault="003241BC" w:rsidP="003241BC">
            <w:pPr>
              <w:ind w:left="113" w:right="113"/>
              <w:rPr>
                <w:rFonts w:ascii="Arial" w:hAnsi="Arial" w:cs="Arial"/>
                <w:b/>
                <w:szCs w:val="20"/>
              </w:rPr>
            </w:pPr>
            <w:r w:rsidRPr="00A1304D">
              <w:rPr>
                <w:rFonts w:ascii="Arial" w:hAnsi="Arial" w:cs="Arial"/>
                <w:b/>
                <w:szCs w:val="20"/>
              </w:rPr>
              <w:t>Assurance-vie</w:t>
            </w:r>
          </w:p>
        </w:tc>
        <w:tc>
          <w:tcPr>
            <w:tcW w:w="862" w:type="dxa"/>
            <w:textDirection w:val="btLr"/>
            <w:vAlign w:val="center"/>
          </w:tcPr>
          <w:p w14:paraId="5FD1BC1D" w14:textId="77777777" w:rsidR="003241BC" w:rsidRPr="00A1304D" w:rsidRDefault="003241BC" w:rsidP="003241BC">
            <w:pPr>
              <w:ind w:left="113" w:right="113"/>
              <w:rPr>
                <w:rFonts w:ascii="Arial" w:hAnsi="Arial" w:cs="Arial"/>
                <w:b/>
                <w:szCs w:val="20"/>
              </w:rPr>
            </w:pPr>
            <w:r w:rsidRPr="00A1304D">
              <w:rPr>
                <w:rFonts w:ascii="Arial" w:hAnsi="Arial" w:cs="Arial"/>
                <w:b/>
                <w:szCs w:val="20"/>
              </w:rPr>
              <w:t>Épargne retraite</w:t>
            </w:r>
          </w:p>
        </w:tc>
        <w:tc>
          <w:tcPr>
            <w:tcW w:w="862" w:type="dxa"/>
            <w:textDirection w:val="btLr"/>
            <w:vAlign w:val="center"/>
          </w:tcPr>
          <w:p w14:paraId="0C2A8652" w14:textId="77777777" w:rsidR="003241BC" w:rsidRPr="00A1304D" w:rsidRDefault="003241BC" w:rsidP="003241BC">
            <w:pPr>
              <w:ind w:left="113" w:right="113"/>
              <w:rPr>
                <w:rFonts w:ascii="Arial" w:hAnsi="Arial" w:cs="Arial"/>
                <w:b/>
                <w:szCs w:val="20"/>
              </w:rPr>
            </w:pPr>
            <w:r w:rsidRPr="00A1304D">
              <w:rPr>
                <w:rFonts w:ascii="Arial" w:hAnsi="Arial" w:cs="Arial"/>
                <w:b/>
                <w:szCs w:val="20"/>
              </w:rPr>
              <w:t>Épargne salariale</w:t>
            </w:r>
          </w:p>
        </w:tc>
        <w:tc>
          <w:tcPr>
            <w:tcW w:w="863" w:type="dxa"/>
            <w:textDirection w:val="btLr"/>
            <w:vAlign w:val="center"/>
          </w:tcPr>
          <w:p w14:paraId="566FACD6" w14:textId="77777777" w:rsidR="003241BC" w:rsidRPr="00A1304D" w:rsidRDefault="003241BC" w:rsidP="003241BC">
            <w:pPr>
              <w:ind w:left="113" w:right="113"/>
              <w:rPr>
                <w:rFonts w:ascii="Arial" w:hAnsi="Arial" w:cs="Arial"/>
                <w:b/>
                <w:szCs w:val="20"/>
              </w:rPr>
            </w:pPr>
            <w:r w:rsidRPr="00A1304D">
              <w:rPr>
                <w:rFonts w:ascii="Arial" w:hAnsi="Arial" w:cs="Arial"/>
                <w:b/>
                <w:szCs w:val="20"/>
              </w:rPr>
              <w:t>Résidence principale</w:t>
            </w:r>
          </w:p>
        </w:tc>
        <w:tc>
          <w:tcPr>
            <w:tcW w:w="863" w:type="dxa"/>
            <w:textDirection w:val="btLr"/>
            <w:vAlign w:val="center"/>
          </w:tcPr>
          <w:p w14:paraId="15467EA9" w14:textId="77777777" w:rsidR="003241BC" w:rsidRPr="00A1304D" w:rsidRDefault="003241BC" w:rsidP="003241BC">
            <w:pPr>
              <w:ind w:left="113" w:right="113"/>
              <w:rPr>
                <w:rFonts w:ascii="Arial" w:hAnsi="Arial" w:cs="Arial"/>
                <w:b/>
                <w:szCs w:val="20"/>
              </w:rPr>
            </w:pPr>
            <w:r w:rsidRPr="00A1304D">
              <w:rPr>
                <w:rFonts w:ascii="Arial" w:hAnsi="Arial" w:cs="Arial"/>
                <w:b/>
                <w:szCs w:val="20"/>
              </w:rPr>
              <w:t>Autres logements</w:t>
            </w:r>
          </w:p>
        </w:tc>
      </w:tr>
      <w:tr w:rsidR="003241BC" w:rsidRPr="003241BC" w14:paraId="6E8010AA" w14:textId="77777777" w:rsidTr="009740D0">
        <w:tc>
          <w:tcPr>
            <w:tcW w:w="1118" w:type="dxa"/>
          </w:tcPr>
          <w:p w14:paraId="6277482F" w14:textId="77777777" w:rsidR="003241BC" w:rsidRPr="00A1304D" w:rsidRDefault="003241BC" w:rsidP="003241BC">
            <w:pPr>
              <w:jc w:val="both"/>
              <w:rPr>
                <w:rFonts w:ascii="Arial" w:hAnsi="Arial" w:cs="Arial"/>
                <w:i/>
                <w:szCs w:val="20"/>
              </w:rPr>
            </w:pPr>
            <w:r w:rsidRPr="00A1304D">
              <w:rPr>
                <w:rFonts w:ascii="Arial" w:hAnsi="Arial" w:cs="Arial"/>
                <w:i/>
                <w:szCs w:val="20"/>
              </w:rPr>
              <w:t>Moins de 30 ans</w:t>
            </w:r>
          </w:p>
        </w:tc>
        <w:tc>
          <w:tcPr>
            <w:tcW w:w="1272" w:type="dxa"/>
            <w:vAlign w:val="center"/>
          </w:tcPr>
          <w:p w14:paraId="151927F7" w14:textId="77777777" w:rsidR="003241BC" w:rsidRPr="00A1304D" w:rsidRDefault="003241BC" w:rsidP="003241BC">
            <w:pPr>
              <w:tabs>
                <w:tab w:val="left" w:pos="764"/>
              </w:tabs>
              <w:ind w:right="237"/>
              <w:jc w:val="right"/>
              <w:rPr>
                <w:rFonts w:ascii="Arial" w:hAnsi="Arial" w:cs="Arial"/>
                <w:szCs w:val="20"/>
              </w:rPr>
            </w:pPr>
            <w:r w:rsidRPr="00A1304D">
              <w:rPr>
                <w:rFonts w:ascii="Arial" w:hAnsi="Arial" w:cs="Arial"/>
                <w:szCs w:val="20"/>
              </w:rPr>
              <w:t>9,6</w:t>
            </w:r>
          </w:p>
        </w:tc>
        <w:tc>
          <w:tcPr>
            <w:tcW w:w="862" w:type="dxa"/>
            <w:vAlign w:val="center"/>
          </w:tcPr>
          <w:p w14:paraId="011EEFFF" w14:textId="77777777" w:rsidR="003241BC" w:rsidRPr="00A1304D" w:rsidRDefault="003241BC" w:rsidP="003241BC">
            <w:pPr>
              <w:jc w:val="right"/>
              <w:rPr>
                <w:rFonts w:ascii="Arial" w:hAnsi="Arial" w:cs="Arial"/>
                <w:szCs w:val="20"/>
              </w:rPr>
            </w:pPr>
            <w:r w:rsidRPr="00A1304D">
              <w:rPr>
                <w:rFonts w:ascii="Arial" w:hAnsi="Arial" w:cs="Arial"/>
                <w:szCs w:val="20"/>
              </w:rPr>
              <w:t>89,8</w:t>
            </w:r>
          </w:p>
        </w:tc>
        <w:tc>
          <w:tcPr>
            <w:tcW w:w="862" w:type="dxa"/>
            <w:vAlign w:val="center"/>
          </w:tcPr>
          <w:p w14:paraId="1AE9C522" w14:textId="77777777" w:rsidR="003241BC" w:rsidRPr="00A1304D" w:rsidRDefault="003241BC" w:rsidP="003241BC">
            <w:pPr>
              <w:jc w:val="right"/>
              <w:rPr>
                <w:rFonts w:ascii="Arial" w:hAnsi="Arial" w:cs="Arial"/>
                <w:szCs w:val="20"/>
              </w:rPr>
            </w:pPr>
            <w:r w:rsidRPr="00A1304D">
              <w:rPr>
                <w:rFonts w:ascii="Arial" w:hAnsi="Arial" w:cs="Arial"/>
                <w:szCs w:val="20"/>
              </w:rPr>
              <w:t>35,1</w:t>
            </w:r>
          </w:p>
        </w:tc>
        <w:tc>
          <w:tcPr>
            <w:tcW w:w="862" w:type="dxa"/>
            <w:vAlign w:val="center"/>
          </w:tcPr>
          <w:p w14:paraId="153C6560" w14:textId="77777777" w:rsidR="003241BC" w:rsidRPr="00A1304D" w:rsidRDefault="003241BC" w:rsidP="003241BC">
            <w:pPr>
              <w:jc w:val="right"/>
              <w:rPr>
                <w:rFonts w:ascii="Arial" w:hAnsi="Arial" w:cs="Arial"/>
                <w:szCs w:val="20"/>
              </w:rPr>
            </w:pPr>
            <w:r w:rsidRPr="00A1304D">
              <w:rPr>
                <w:rFonts w:ascii="Arial" w:hAnsi="Arial" w:cs="Arial"/>
                <w:szCs w:val="20"/>
              </w:rPr>
              <w:t>7,0</w:t>
            </w:r>
          </w:p>
        </w:tc>
        <w:tc>
          <w:tcPr>
            <w:tcW w:w="862" w:type="dxa"/>
            <w:vAlign w:val="center"/>
          </w:tcPr>
          <w:p w14:paraId="4909BF72" w14:textId="77777777" w:rsidR="003241BC" w:rsidRPr="00A1304D" w:rsidRDefault="003241BC" w:rsidP="003241BC">
            <w:pPr>
              <w:jc w:val="right"/>
              <w:rPr>
                <w:rFonts w:ascii="Arial" w:hAnsi="Arial" w:cs="Arial"/>
                <w:szCs w:val="20"/>
              </w:rPr>
            </w:pPr>
            <w:r w:rsidRPr="00A1304D">
              <w:rPr>
                <w:rFonts w:ascii="Arial" w:hAnsi="Arial" w:cs="Arial"/>
                <w:szCs w:val="20"/>
              </w:rPr>
              <w:t>21,1</w:t>
            </w:r>
          </w:p>
        </w:tc>
        <w:tc>
          <w:tcPr>
            <w:tcW w:w="862" w:type="dxa"/>
            <w:vAlign w:val="center"/>
          </w:tcPr>
          <w:p w14:paraId="16025704" w14:textId="77777777" w:rsidR="003241BC" w:rsidRPr="00A1304D" w:rsidRDefault="003241BC" w:rsidP="003241BC">
            <w:pPr>
              <w:jc w:val="right"/>
              <w:rPr>
                <w:rFonts w:ascii="Arial" w:hAnsi="Arial" w:cs="Arial"/>
                <w:szCs w:val="20"/>
              </w:rPr>
            </w:pPr>
            <w:r w:rsidRPr="00A1304D">
              <w:rPr>
                <w:rFonts w:ascii="Arial" w:hAnsi="Arial" w:cs="Arial"/>
                <w:szCs w:val="20"/>
              </w:rPr>
              <w:t>6,2</w:t>
            </w:r>
          </w:p>
        </w:tc>
        <w:tc>
          <w:tcPr>
            <w:tcW w:w="862" w:type="dxa"/>
            <w:vAlign w:val="center"/>
          </w:tcPr>
          <w:p w14:paraId="72D0E11C" w14:textId="77777777" w:rsidR="003241BC" w:rsidRPr="00A1304D" w:rsidRDefault="003241BC" w:rsidP="003241BC">
            <w:pPr>
              <w:jc w:val="right"/>
              <w:rPr>
                <w:rFonts w:ascii="Arial" w:hAnsi="Arial" w:cs="Arial"/>
                <w:szCs w:val="20"/>
              </w:rPr>
            </w:pPr>
            <w:r w:rsidRPr="00A1304D">
              <w:rPr>
                <w:rFonts w:ascii="Arial" w:hAnsi="Arial" w:cs="Arial"/>
                <w:szCs w:val="20"/>
              </w:rPr>
              <w:t>15,3</w:t>
            </w:r>
          </w:p>
        </w:tc>
        <w:tc>
          <w:tcPr>
            <w:tcW w:w="863" w:type="dxa"/>
            <w:vAlign w:val="center"/>
          </w:tcPr>
          <w:p w14:paraId="5258D2E7" w14:textId="77777777" w:rsidR="003241BC" w:rsidRPr="00A1304D" w:rsidRDefault="003241BC" w:rsidP="003241BC">
            <w:pPr>
              <w:jc w:val="right"/>
              <w:rPr>
                <w:rFonts w:ascii="Arial" w:hAnsi="Arial" w:cs="Arial"/>
                <w:szCs w:val="20"/>
              </w:rPr>
            </w:pPr>
            <w:r w:rsidRPr="00A1304D">
              <w:rPr>
                <w:rFonts w:ascii="Arial" w:hAnsi="Arial" w:cs="Arial"/>
                <w:szCs w:val="20"/>
              </w:rPr>
              <w:t>16,1</w:t>
            </w:r>
          </w:p>
        </w:tc>
        <w:tc>
          <w:tcPr>
            <w:tcW w:w="863" w:type="dxa"/>
            <w:vAlign w:val="center"/>
          </w:tcPr>
          <w:p w14:paraId="349FB8C4" w14:textId="77777777" w:rsidR="003241BC" w:rsidRPr="00A1304D" w:rsidRDefault="003241BC" w:rsidP="003241BC">
            <w:pPr>
              <w:jc w:val="right"/>
              <w:rPr>
                <w:rFonts w:ascii="Arial" w:hAnsi="Arial" w:cs="Arial"/>
                <w:szCs w:val="20"/>
              </w:rPr>
            </w:pPr>
            <w:r w:rsidRPr="00A1304D">
              <w:rPr>
                <w:rFonts w:ascii="Arial" w:hAnsi="Arial" w:cs="Arial"/>
                <w:szCs w:val="20"/>
              </w:rPr>
              <w:t>4,7</w:t>
            </w:r>
          </w:p>
        </w:tc>
      </w:tr>
      <w:tr w:rsidR="003241BC" w:rsidRPr="003241BC" w14:paraId="075E60D5" w14:textId="77777777" w:rsidTr="009740D0">
        <w:tc>
          <w:tcPr>
            <w:tcW w:w="1118" w:type="dxa"/>
          </w:tcPr>
          <w:p w14:paraId="420C4551" w14:textId="77777777" w:rsidR="003241BC" w:rsidRPr="00A1304D" w:rsidRDefault="003241BC" w:rsidP="003241BC">
            <w:pPr>
              <w:jc w:val="both"/>
              <w:rPr>
                <w:rFonts w:ascii="Arial" w:hAnsi="Arial" w:cs="Arial"/>
                <w:i/>
                <w:szCs w:val="20"/>
              </w:rPr>
            </w:pPr>
            <w:r w:rsidRPr="00A1304D">
              <w:rPr>
                <w:rFonts w:ascii="Arial" w:hAnsi="Arial" w:cs="Arial"/>
                <w:i/>
                <w:szCs w:val="20"/>
              </w:rPr>
              <w:t>De 30 à 39 ans</w:t>
            </w:r>
          </w:p>
        </w:tc>
        <w:tc>
          <w:tcPr>
            <w:tcW w:w="1272" w:type="dxa"/>
            <w:vAlign w:val="center"/>
          </w:tcPr>
          <w:p w14:paraId="6BCBFC21" w14:textId="77777777" w:rsidR="003241BC" w:rsidRPr="00A1304D" w:rsidRDefault="003241BC" w:rsidP="003241BC">
            <w:pPr>
              <w:tabs>
                <w:tab w:val="left" w:pos="764"/>
              </w:tabs>
              <w:ind w:right="237"/>
              <w:jc w:val="right"/>
              <w:rPr>
                <w:rFonts w:ascii="Arial" w:hAnsi="Arial" w:cs="Arial"/>
                <w:szCs w:val="20"/>
              </w:rPr>
            </w:pPr>
            <w:r w:rsidRPr="00A1304D">
              <w:rPr>
                <w:rFonts w:ascii="Arial" w:hAnsi="Arial" w:cs="Arial"/>
                <w:szCs w:val="20"/>
              </w:rPr>
              <w:t>15,6</w:t>
            </w:r>
          </w:p>
        </w:tc>
        <w:tc>
          <w:tcPr>
            <w:tcW w:w="862" w:type="dxa"/>
            <w:vAlign w:val="center"/>
          </w:tcPr>
          <w:p w14:paraId="0B9477AD" w14:textId="77777777" w:rsidR="003241BC" w:rsidRPr="00A1304D" w:rsidRDefault="003241BC" w:rsidP="003241BC">
            <w:pPr>
              <w:jc w:val="right"/>
              <w:rPr>
                <w:rFonts w:ascii="Arial" w:hAnsi="Arial" w:cs="Arial"/>
                <w:szCs w:val="20"/>
              </w:rPr>
            </w:pPr>
            <w:r w:rsidRPr="00A1304D">
              <w:rPr>
                <w:rFonts w:ascii="Arial" w:hAnsi="Arial" w:cs="Arial"/>
                <w:szCs w:val="20"/>
              </w:rPr>
              <w:t>89,8</w:t>
            </w:r>
          </w:p>
        </w:tc>
        <w:tc>
          <w:tcPr>
            <w:tcW w:w="862" w:type="dxa"/>
            <w:vAlign w:val="center"/>
          </w:tcPr>
          <w:p w14:paraId="59BFDAB9" w14:textId="77777777" w:rsidR="003241BC" w:rsidRPr="00A1304D" w:rsidRDefault="003241BC" w:rsidP="003241BC">
            <w:pPr>
              <w:jc w:val="right"/>
              <w:rPr>
                <w:rFonts w:ascii="Arial" w:hAnsi="Arial" w:cs="Arial"/>
                <w:szCs w:val="20"/>
              </w:rPr>
            </w:pPr>
            <w:r w:rsidRPr="00A1304D">
              <w:rPr>
                <w:rFonts w:ascii="Arial" w:hAnsi="Arial" w:cs="Arial"/>
                <w:szCs w:val="20"/>
              </w:rPr>
              <w:t>37,0</w:t>
            </w:r>
          </w:p>
        </w:tc>
        <w:tc>
          <w:tcPr>
            <w:tcW w:w="862" w:type="dxa"/>
            <w:vAlign w:val="center"/>
          </w:tcPr>
          <w:p w14:paraId="3036D1DC" w14:textId="77777777" w:rsidR="003241BC" w:rsidRPr="00A1304D" w:rsidRDefault="003241BC" w:rsidP="003241BC">
            <w:pPr>
              <w:jc w:val="right"/>
              <w:rPr>
                <w:rFonts w:ascii="Arial" w:hAnsi="Arial" w:cs="Arial"/>
                <w:szCs w:val="20"/>
              </w:rPr>
            </w:pPr>
            <w:r w:rsidRPr="00A1304D">
              <w:rPr>
                <w:rFonts w:ascii="Arial" w:hAnsi="Arial" w:cs="Arial"/>
                <w:szCs w:val="20"/>
              </w:rPr>
              <w:t>14,6</w:t>
            </w:r>
          </w:p>
        </w:tc>
        <w:tc>
          <w:tcPr>
            <w:tcW w:w="862" w:type="dxa"/>
            <w:vAlign w:val="center"/>
          </w:tcPr>
          <w:p w14:paraId="421DB8EB" w14:textId="77777777" w:rsidR="003241BC" w:rsidRPr="00A1304D" w:rsidRDefault="003241BC" w:rsidP="003241BC">
            <w:pPr>
              <w:jc w:val="right"/>
              <w:rPr>
                <w:rFonts w:ascii="Arial" w:hAnsi="Arial" w:cs="Arial"/>
                <w:szCs w:val="20"/>
              </w:rPr>
            </w:pPr>
            <w:r w:rsidRPr="00A1304D">
              <w:rPr>
                <w:rFonts w:ascii="Arial" w:hAnsi="Arial" w:cs="Arial"/>
                <w:szCs w:val="20"/>
              </w:rPr>
              <w:t>31,4</w:t>
            </w:r>
          </w:p>
        </w:tc>
        <w:tc>
          <w:tcPr>
            <w:tcW w:w="862" w:type="dxa"/>
            <w:vAlign w:val="center"/>
          </w:tcPr>
          <w:p w14:paraId="094BDA9A" w14:textId="77777777" w:rsidR="003241BC" w:rsidRPr="00A1304D" w:rsidRDefault="003241BC" w:rsidP="003241BC">
            <w:pPr>
              <w:jc w:val="right"/>
              <w:rPr>
                <w:rFonts w:ascii="Arial" w:hAnsi="Arial" w:cs="Arial"/>
                <w:szCs w:val="20"/>
              </w:rPr>
            </w:pPr>
            <w:r w:rsidRPr="00A1304D">
              <w:rPr>
                <w:rFonts w:ascii="Arial" w:hAnsi="Arial" w:cs="Arial"/>
                <w:szCs w:val="20"/>
              </w:rPr>
              <w:t>16,2</w:t>
            </w:r>
          </w:p>
        </w:tc>
        <w:tc>
          <w:tcPr>
            <w:tcW w:w="862" w:type="dxa"/>
            <w:vAlign w:val="center"/>
          </w:tcPr>
          <w:p w14:paraId="3E0E0782" w14:textId="77777777" w:rsidR="003241BC" w:rsidRPr="00A1304D" w:rsidRDefault="003241BC" w:rsidP="003241BC">
            <w:pPr>
              <w:jc w:val="right"/>
              <w:rPr>
                <w:rFonts w:ascii="Arial" w:hAnsi="Arial" w:cs="Arial"/>
                <w:szCs w:val="20"/>
              </w:rPr>
            </w:pPr>
            <w:r w:rsidRPr="00A1304D">
              <w:rPr>
                <w:rFonts w:ascii="Arial" w:hAnsi="Arial" w:cs="Arial"/>
                <w:szCs w:val="20"/>
              </w:rPr>
              <w:t>21,2</w:t>
            </w:r>
          </w:p>
        </w:tc>
        <w:tc>
          <w:tcPr>
            <w:tcW w:w="863" w:type="dxa"/>
            <w:vAlign w:val="center"/>
          </w:tcPr>
          <w:p w14:paraId="3B42DD98" w14:textId="77777777" w:rsidR="003241BC" w:rsidRPr="00A1304D" w:rsidRDefault="003241BC" w:rsidP="003241BC">
            <w:pPr>
              <w:jc w:val="right"/>
              <w:rPr>
                <w:rFonts w:ascii="Arial" w:hAnsi="Arial" w:cs="Arial"/>
                <w:szCs w:val="20"/>
              </w:rPr>
            </w:pPr>
            <w:r w:rsidRPr="00A1304D">
              <w:rPr>
                <w:rFonts w:ascii="Arial" w:hAnsi="Arial" w:cs="Arial"/>
                <w:szCs w:val="20"/>
              </w:rPr>
              <w:t>48,8</w:t>
            </w:r>
          </w:p>
        </w:tc>
        <w:tc>
          <w:tcPr>
            <w:tcW w:w="863" w:type="dxa"/>
            <w:vAlign w:val="center"/>
          </w:tcPr>
          <w:p w14:paraId="0F3BE21E" w14:textId="77777777" w:rsidR="003241BC" w:rsidRPr="00A1304D" w:rsidRDefault="003241BC" w:rsidP="003241BC">
            <w:pPr>
              <w:jc w:val="right"/>
              <w:rPr>
                <w:rFonts w:ascii="Arial" w:hAnsi="Arial" w:cs="Arial"/>
                <w:szCs w:val="20"/>
              </w:rPr>
            </w:pPr>
            <w:r w:rsidRPr="00A1304D">
              <w:rPr>
                <w:rFonts w:ascii="Arial" w:hAnsi="Arial" w:cs="Arial"/>
                <w:szCs w:val="20"/>
              </w:rPr>
              <w:t>12,7</w:t>
            </w:r>
          </w:p>
        </w:tc>
      </w:tr>
      <w:tr w:rsidR="003241BC" w:rsidRPr="003241BC" w14:paraId="1E96F3C8" w14:textId="77777777" w:rsidTr="009740D0">
        <w:tc>
          <w:tcPr>
            <w:tcW w:w="1118" w:type="dxa"/>
          </w:tcPr>
          <w:p w14:paraId="4AB58D3E" w14:textId="77777777" w:rsidR="003241BC" w:rsidRPr="00A1304D" w:rsidRDefault="003241BC" w:rsidP="003241BC">
            <w:pPr>
              <w:jc w:val="both"/>
              <w:rPr>
                <w:rFonts w:ascii="Arial" w:hAnsi="Arial" w:cs="Arial"/>
                <w:i/>
                <w:szCs w:val="20"/>
              </w:rPr>
            </w:pPr>
            <w:r w:rsidRPr="00A1304D">
              <w:rPr>
                <w:rFonts w:ascii="Arial" w:hAnsi="Arial" w:cs="Arial"/>
                <w:i/>
                <w:szCs w:val="20"/>
              </w:rPr>
              <w:t>De 40 à 49 ans</w:t>
            </w:r>
          </w:p>
        </w:tc>
        <w:tc>
          <w:tcPr>
            <w:tcW w:w="1272" w:type="dxa"/>
            <w:vAlign w:val="center"/>
          </w:tcPr>
          <w:p w14:paraId="31F85067" w14:textId="77777777" w:rsidR="003241BC" w:rsidRPr="00A1304D" w:rsidRDefault="003241BC" w:rsidP="003241BC">
            <w:pPr>
              <w:tabs>
                <w:tab w:val="left" w:pos="764"/>
              </w:tabs>
              <w:ind w:right="237"/>
              <w:jc w:val="right"/>
              <w:rPr>
                <w:rFonts w:ascii="Arial" w:hAnsi="Arial" w:cs="Arial"/>
                <w:szCs w:val="20"/>
              </w:rPr>
            </w:pPr>
            <w:r w:rsidRPr="00A1304D">
              <w:rPr>
                <w:rFonts w:ascii="Arial" w:hAnsi="Arial" w:cs="Arial"/>
                <w:szCs w:val="20"/>
              </w:rPr>
              <w:t>18,9</w:t>
            </w:r>
          </w:p>
        </w:tc>
        <w:tc>
          <w:tcPr>
            <w:tcW w:w="862" w:type="dxa"/>
            <w:vAlign w:val="center"/>
          </w:tcPr>
          <w:p w14:paraId="1E3140D5" w14:textId="77777777" w:rsidR="003241BC" w:rsidRPr="00A1304D" w:rsidRDefault="003241BC" w:rsidP="003241BC">
            <w:pPr>
              <w:jc w:val="right"/>
              <w:rPr>
                <w:rFonts w:ascii="Arial" w:hAnsi="Arial" w:cs="Arial"/>
                <w:szCs w:val="20"/>
              </w:rPr>
            </w:pPr>
            <w:r w:rsidRPr="00A1304D">
              <w:rPr>
                <w:rFonts w:ascii="Arial" w:hAnsi="Arial" w:cs="Arial"/>
                <w:szCs w:val="20"/>
              </w:rPr>
              <w:t>87,1</w:t>
            </w:r>
          </w:p>
        </w:tc>
        <w:tc>
          <w:tcPr>
            <w:tcW w:w="862" w:type="dxa"/>
            <w:vAlign w:val="center"/>
          </w:tcPr>
          <w:p w14:paraId="6290F4CF" w14:textId="77777777" w:rsidR="003241BC" w:rsidRPr="00A1304D" w:rsidRDefault="003241BC" w:rsidP="003241BC">
            <w:pPr>
              <w:jc w:val="right"/>
              <w:rPr>
                <w:rFonts w:ascii="Arial" w:hAnsi="Arial" w:cs="Arial"/>
                <w:szCs w:val="20"/>
              </w:rPr>
            </w:pPr>
            <w:r w:rsidRPr="00A1304D">
              <w:rPr>
                <w:rFonts w:ascii="Arial" w:hAnsi="Arial" w:cs="Arial"/>
                <w:szCs w:val="20"/>
              </w:rPr>
              <w:t>36,3</w:t>
            </w:r>
          </w:p>
        </w:tc>
        <w:tc>
          <w:tcPr>
            <w:tcW w:w="862" w:type="dxa"/>
            <w:vAlign w:val="center"/>
          </w:tcPr>
          <w:p w14:paraId="6E0C8356" w14:textId="77777777" w:rsidR="003241BC" w:rsidRPr="00A1304D" w:rsidRDefault="003241BC" w:rsidP="003241BC">
            <w:pPr>
              <w:jc w:val="right"/>
              <w:rPr>
                <w:rFonts w:ascii="Arial" w:hAnsi="Arial" w:cs="Arial"/>
                <w:szCs w:val="20"/>
              </w:rPr>
            </w:pPr>
            <w:r w:rsidRPr="00A1304D">
              <w:rPr>
                <w:rFonts w:ascii="Arial" w:hAnsi="Arial" w:cs="Arial"/>
                <w:szCs w:val="20"/>
              </w:rPr>
              <w:t>18,4</w:t>
            </w:r>
          </w:p>
        </w:tc>
        <w:tc>
          <w:tcPr>
            <w:tcW w:w="862" w:type="dxa"/>
            <w:vAlign w:val="center"/>
          </w:tcPr>
          <w:p w14:paraId="711767C9" w14:textId="77777777" w:rsidR="003241BC" w:rsidRPr="00A1304D" w:rsidRDefault="003241BC" w:rsidP="003241BC">
            <w:pPr>
              <w:jc w:val="right"/>
              <w:rPr>
                <w:rFonts w:ascii="Arial" w:hAnsi="Arial" w:cs="Arial"/>
                <w:szCs w:val="20"/>
              </w:rPr>
            </w:pPr>
            <w:r w:rsidRPr="00A1304D">
              <w:rPr>
                <w:rFonts w:ascii="Arial" w:hAnsi="Arial" w:cs="Arial"/>
                <w:szCs w:val="20"/>
              </w:rPr>
              <w:t>5,1</w:t>
            </w:r>
          </w:p>
        </w:tc>
        <w:tc>
          <w:tcPr>
            <w:tcW w:w="862" w:type="dxa"/>
            <w:vAlign w:val="center"/>
          </w:tcPr>
          <w:p w14:paraId="29F57971" w14:textId="77777777" w:rsidR="003241BC" w:rsidRPr="00A1304D" w:rsidRDefault="003241BC" w:rsidP="003241BC">
            <w:pPr>
              <w:jc w:val="right"/>
              <w:rPr>
                <w:rFonts w:ascii="Arial" w:hAnsi="Arial" w:cs="Arial"/>
                <w:szCs w:val="20"/>
              </w:rPr>
            </w:pPr>
            <w:r w:rsidRPr="00A1304D">
              <w:rPr>
                <w:rFonts w:ascii="Arial" w:hAnsi="Arial" w:cs="Arial"/>
                <w:szCs w:val="20"/>
              </w:rPr>
              <w:t>22,8</w:t>
            </w:r>
          </w:p>
        </w:tc>
        <w:tc>
          <w:tcPr>
            <w:tcW w:w="862" w:type="dxa"/>
            <w:vAlign w:val="center"/>
          </w:tcPr>
          <w:p w14:paraId="49409B6C" w14:textId="77777777" w:rsidR="003241BC" w:rsidRPr="00A1304D" w:rsidRDefault="003241BC" w:rsidP="003241BC">
            <w:pPr>
              <w:jc w:val="right"/>
              <w:rPr>
                <w:rFonts w:ascii="Arial" w:hAnsi="Arial" w:cs="Arial"/>
                <w:szCs w:val="20"/>
              </w:rPr>
            </w:pPr>
            <w:r w:rsidRPr="00A1304D">
              <w:rPr>
                <w:rFonts w:ascii="Arial" w:hAnsi="Arial" w:cs="Arial"/>
                <w:szCs w:val="20"/>
              </w:rPr>
              <w:t>22,5</w:t>
            </w:r>
          </w:p>
        </w:tc>
        <w:tc>
          <w:tcPr>
            <w:tcW w:w="863" w:type="dxa"/>
            <w:vAlign w:val="center"/>
          </w:tcPr>
          <w:p w14:paraId="4E9760FD" w14:textId="77777777" w:rsidR="003241BC" w:rsidRPr="00A1304D" w:rsidRDefault="003241BC" w:rsidP="003241BC">
            <w:pPr>
              <w:jc w:val="right"/>
              <w:rPr>
                <w:rFonts w:ascii="Arial" w:hAnsi="Arial" w:cs="Arial"/>
                <w:szCs w:val="20"/>
              </w:rPr>
            </w:pPr>
            <w:r w:rsidRPr="00A1304D">
              <w:rPr>
                <w:rFonts w:ascii="Arial" w:hAnsi="Arial" w:cs="Arial"/>
                <w:szCs w:val="20"/>
              </w:rPr>
              <w:t>58,2</w:t>
            </w:r>
          </w:p>
        </w:tc>
        <w:tc>
          <w:tcPr>
            <w:tcW w:w="863" w:type="dxa"/>
            <w:vAlign w:val="center"/>
          </w:tcPr>
          <w:p w14:paraId="2070B330" w14:textId="77777777" w:rsidR="003241BC" w:rsidRPr="00A1304D" w:rsidRDefault="003241BC" w:rsidP="003241BC">
            <w:pPr>
              <w:jc w:val="right"/>
              <w:rPr>
                <w:rFonts w:ascii="Arial" w:hAnsi="Arial" w:cs="Arial"/>
                <w:szCs w:val="20"/>
              </w:rPr>
            </w:pPr>
            <w:r w:rsidRPr="00A1304D">
              <w:rPr>
                <w:rFonts w:ascii="Arial" w:hAnsi="Arial" w:cs="Arial"/>
                <w:szCs w:val="20"/>
              </w:rPr>
              <w:t>17,7</w:t>
            </w:r>
          </w:p>
        </w:tc>
      </w:tr>
      <w:tr w:rsidR="003241BC" w:rsidRPr="003241BC" w14:paraId="5AAA5EC2" w14:textId="77777777" w:rsidTr="009740D0">
        <w:tc>
          <w:tcPr>
            <w:tcW w:w="1118" w:type="dxa"/>
          </w:tcPr>
          <w:p w14:paraId="2013141A" w14:textId="77777777" w:rsidR="003241BC" w:rsidRPr="00A1304D" w:rsidRDefault="003241BC" w:rsidP="003241BC">
            <w:pPr>
              <w:jc w:val="both"/>
              <w:rPr>
                <w:rFonts w:ascii="Arial" w:hAnsi="Arial" w:cs="Arial"/>
                <w:i/>
                <w:szCs w:val="20"/>
              </w:rPr>
            </w:pPr>
            <w:r w:rsidRPr="00A1304D">
              <w:rPr>
                <w:rFonts w:ascii="Arial" w:hAnsi="Arial" w:cs="Arial"/>
                <w:i/>
                <w:szCs w:val="20"/>
              </w:rPr>
              <w:t>De 50 à 59 ans</w:t>
            </w:r>
          </w:p>
        </w:tc>
        <w:tc>
          <w:tcPr>
            <w:tcW w:w="1272" w:type="dxa"/>
            <w:vAlign w:val="center"/>
          </w:tcPr>
          <w:p w14:paraId="16F6F81F" w14:textId="77777777" w:rsidR="003241BC" w:rsidRPr="00A1304D" w:rsidRDefault="003241BC" w:rsidP="003241BC">
            <w:pPr>
              <w:tabs>
                <w:tab w:val="left" w:pos="764"/>
              </w:tabs>
              <w:ind w:right="237"/>
              <w:jc w:val="right"/>
              <w:rPr>
                <w:rFonts w:ascii="Arial" w:hAnsi="Arial" w:cs="Arial"/>
                <w:szCs w:val="20"/>
              </w:rPr>
            </w:pPr>
            <w:r w:rsidRPr="00A1304D">
              <w:rPr>
                <w:rFonts w:ascii="Arial" w:hAnsi="Arial" w:cs="Arial"/>
                <w:szCs w:val="20"/>
              </w:rPr>
              <w:t>17,6</w:t>
            </w:r>
          </w:p>
        </w:tc>
        <w:tc>
          <w:tcPr>
            <w:tcW w:w="862" w:type="dxa"/>
            <w:vAlign w:val="center"/>
          </w:tcPr>
          <w:p w14:paraId="1B998C77" w14:textId="77777777" w:rsidR="003241BC" w:rsidRPr="00A1304D" w:rsidRDefault="003241BC" w:rsidP="003241BC">
            <w:pPr>
              <w:jc w:val="right"/>
              <w:rPr>
                <w:rFonts w:ascii="Arial" w:hAnsi="Arial" w:cs="Arial"/>
                <w:szCs w:val="20"/>
              </w:rPr>
            </w:pPr>
            <w:r w:rsidRPr="00A1304D">
              <w:rPr>
                <w:rFonts w:ascii="Arial" w:hAnsi="Arial" w:cs="Arial"/>
                <w:szCs w:val="20"/>
              </w:rPr>
              <w:t>83,4</w:t>
            </w:r>
          </w:p>
        </w:tc>
        <w:tc>
          <w:tcPr>
            <w:tcW w:w="862" w:type="dxa"/>
            <w:vAlign w:val="center"/>
          </w:tcPr>
          <w:p w14:paraId="6CAE647B" w14:textId="77777777" w:rsidR="003241BC" w:rsidRPr="00A1304D" w:rsidRDefault="003241BC" w:rsidP="003241BC">
            <w:pPr>
              <w:jc w:val="right"/>
              <w:rPr>
                <w:rFonts w:ascii="Arial" w:hAnsi="Arial" w:cs="Arial"/>
                <w:szCs w:val="20"/>
              </w:rPr>
            </w:pPr>
            <w:r w:rsidRPr="00A1304D">
              <w:rPr>
                <w:rFonts w:ascii="Arial" w:hAnsi="Arial" w:cs="Arial"/>
                <w:szCs w:val="20"/>
              </w:rPr>
              <w:t>35,1</w:t>
            </w:r>
          </w:p>
        </w:tc>
        <w:tc>
          <w:tcPr>
            <w:tcW w:w="862" w:type="dxa"/>
            <w:vAlign w:val="center"/>
          </w:tcPr>
          <w:p w14:paraId="7951A5D0" w14:textId="77777777" w:rsidR="003241BC" w:rsidRPr="00A1304D" w:rsidRDefault="003241BC" w:rsidP="003241BC">
            <w:pPr>
              <w:jc w:val="right"/>
              <w:rPr>
                <w:rFonts w:ascii="Arial" w:hAnsi="Arial" w:cs="Arial"/>
                <w:szCs w:val="20"/>
              </w:rPr>
            </w:pPr>
            <w:r w:rsidRPr="00A1304D">
              <w:rPr>
                <w:rFonts w:ascii="Arial" w:hAnsi="Arial" w:cs="Arial"/>
                <w:szCs w:val="20"/>
              </w:rPr>
              <w:t>17,8</w:t>
            </w:r>
          </w:p>
        </w:tc>
        <w:tc>
          <w:tcPr>
            <w:tcW w:w="862" w:type="dxa"/>
            <w:vAlign w:val="center"/>
          </w:tcPr>
          <w:p w14:paraId="4C530264" w14:textId="77777777" w:rsidR="003241BC" w:rsidRPr="00A1304D" w:rsidRDefault="003241BC" w:rsidP="003241BC">
            <w:pPr>
              <w:jc w:val="right"/>
              <w:rPr>
                <w:rFonts w:ascii="Arial" w:hAnsi="Arial" w:cs="Arial"/>
                <w:szCs w:val="20"/>
              </w:rPr>
            </w:pPr>
            <w:r w:rsidRPr="00A1304D">
              <w:rPr>
                <w:rFonts w:ascii="Arial" w:hAnsi="Arial" w:cs="Arial"/>
                <w:szCs w:val="20"/>
              </w:rPr>
              <w:t>36,5</w:t>
            </w:r>
          </w:p>
        </w:tc>
        <w:tc>
          <w:tcPr>
            <w:tcW w:w="862" w:type="dxa"/>
            <w:vAlign w:val="center"/>
          </w:tcPr>
          <w:p w14:paraId="278F8A79" w14:textId="77777777" w:rsidR="003241BC" w:rsidRPr="00A1304D" w:rsidRDefault="003241BC" w:rsidP="003241BC">
            <w:pPr>
              <w:jc w:val="right"/>
              <w:rPr>
                <w:rFonts w:ascii="Arial" w:hAnsi="Arial" w:cs="Arial"/>
                <w:szCs w:val="20"/>
              </w:rPr>
            </w:pPr>
            <w:r w:rsidRPr="00A1304D">
              <w:rPr>
                <w:rFonts w:ascii="Arial" w:hAnsi="Arial" w:cs="Arial"/>
                <w:szCs w:val="20"/>
              </w:rPr>
              <w:t>24,2</w:t>
            </w:r>
          </w:p>
        </w:tc>
        <w:tc>
          <w:tcPr>
            <w:tcW w:w="862" w:type="dxa"/>
            <w:vAlign w:val="center"/>
          </w:tcPr>
          <w:p w14:paraId="48C01D1F" w14:textId="77777777" w:rsidR="003241BC" w:rsidRPr="00A1304D" w:rsidRDefault="003241BC" w:rsidP="003241BC">
            <w:pPr>
              <w:jc w:val="right"/>
              <w:rPr>
                <w:rFonts w:ascii="Arial" w:hAnsi="Arial" w:cs="Arial"/>
                <w:szCs w:val="20"/>
              </w:rPr>
            </w:pPr>
            <w:r w:rsidRPr="00A1304D">
              <w:rPr>
                <w:rFonts w:ascii="Arial" w:hAnsi="Arial" w:cs="Arial"/>
                <w:szCs w:val="20"/>
              </w:rPr>
              <w:t>19,6</w:t>
            </w:r>
          </w:p>
        </w:tc>
        <w:tc>
          <w:tcPr>
            <w:tcW w:w="863" w:type="dxa"/>
            <w:vAlign w:val="center"/>
          </w:tcPr>
          <w:p w14:paraId="0D2A0DF3" w14:textId="77777777" w:rsidR="003241BC" w:rsidRPr="00A1304D" w:rsidRDefault="003241BC" w:rsidP="003241BC">
            <w:pPr>
              <w:jc w:val="right"/>
              <w:rPr>
                <w:rFonts w:ascii="Arial" w:hAnsi="Arial" w:cs="Arial"/>
                <w:szCs w:val="20"/>
              </w:rPr>
            </w:pPr>
            <w:r w:rsidRPr="00A1304D">
              <w:rPr>
                <w:rFonts w:ascii="Arial" w:hAnsi="Arial" w:cs="Arial"/>
                <w:szCs w:val="20"/>
              </w:rPr>
              <w:t>61,7</w:t>
            </w:r>
          </w:p>
        </w:tc>
        <w:tc>
          <w:tcPr>
            <w:tcW w:w="863" w:type="dxa"/>
            <w:vAlign w:val="center"/>
          </w:tcPr>
          <w:p w14:paraId="2165D508" w14:textId="77777777" w:rsidR="003241BC" w:rsidRPr="00A1304D" w:rsidRDefault="003241BC" w:rsidP="003241BC">
            <w:pPr>
              <w:jc w:val="right"/>
              <w:rPr>
                <w:rFonts w:ascii="Arial" w:hAnsi="Arial" w:cs="Arial"/>
                <w:szCs w:val="20"/>
              </w:rPr>
            </w:pPr>
            <w:r w:rsidRPr="00A1304D">
              <w:rPr>
                <w:rFonts w:ascii="Arial" w:hAnsi="Arial" w:cs="Arial"/>
                <w:szCs w:val="20"/>
              </w:rPr>
              <w:t>23,5</w:t>
            </w:r>
          </w:p>
        </w:tc>
      </w:tr>
      <w:tr w:rsidR="003241BC" w:rsidRPr="003241BC" w14:paraId="7BBE1CBD" w14:textId="77777777" w:rsidTr="009740D0">
        <w:tc>
          <w:tcPr>
            <w:tcW w:w="1118" w:type="dxa"/>
          </w:tcPr>
          <w:p w14:paraId="550223EC" w14:textId="77777777" w:rsidR="003241BC" w:rsidRPr="00A1304D" w:rsidRDefault="003241BC" w:rsidP="003241BC">
            <w:pPr>
              <w:jc w:val="both"/>
              <w:rPr>
                <w:rFonts w:ascii="Arial" w:hAnsi="Arial" w:cs="Arial"/>
                <w:i/>
                <w:szCs w:val="20"/>
              </w:rPr>
            </w:pPr>
            <w:r w:rsidRPr="00A1304D">
              <w:rPr>
                <w:rFonts w:ascii="Arial" w:hAnsi="Arial" w:cs="Arial"/>
                <w:i/>
                <w:szCs w:val="20"/>
              </w:rPr>
              <w:t>De 60 à 69 ans</w:t>
            </w:r>
          </w:p>
        </w:tc>
        <w:tc>
          <w:tcPr>
            <w:tcW w:w="1272" w:type="dxa"/>
            <w:vAlign w:val="center"/>
          </w:tcPr>
          <w:p w14:paraId="4E2900B5" w14:textId="77777777" w:rsidR="003241BC" w:rsidRPr="00A1304D" w:rsidRDefault="003241BC" w:rsidP="003241BC">
            <w:pPr>
              <w:tabs>
                <w:tab w:val="left" w:pos="764"/>
              </w:tabs>
              <w:ind w:right="237"/>
              <w:jc w:val="right"/>
              <w:rPr>
                <w:rFonts w:ascii="Arial" w:hAnsi="Arial" w:cs="Arial"/>
                <w:szCs w:val="20"/>
              </w:rPr>
            </w:pPr>
            <w:r w:rsidRPr="00A1304D">
              <w:rPr>
                <w:rFonts w:ascii="Arial" w:hAnsi="Arial" w:cs="Arial"/>
                <w:szCs w:val="20"/>
              </w:rPr>
              <w:t>17,9</w:t>
            </w:r>
          </w:p>
        </w:tc>
        <w:tc>
          <w:tcPr>
            <w:tcW w:w="862" w:type="dxa"/>
            <w:vAlign w:val="center"/>
          </w:tcPr>
          <w:p w14:paraId="160CEFC8" w14:textId="77777777" w:rsidR="003241BC" w:rsidRPr="00A1304D" w:rsidRDefault="003241BC" w:rsidP="003241BC">
            <w:pPr>
              <w:jc w:val="right"/>
              <w:rPr>
                <w:rFonts w:ascii="Arial" w:hAnsi="Arial" w:cs="Arial"/>
                <w:szCs w:val="20"/>
              </w:rPr>
            </w:pPr>
            <w:r w:rsidRPr="00A1304D">
              <w:rPr>
                <w:rFonts w:ascii="Arial" w:hAnsi="Arial" w:cs="Arial"/>
                <w:szCs w:val="20"/>
              </w:rPr>
              <w:t>83,6</w:t>
            </w:r>
          </w:p>
        </w:tc>
        <w:tc>
          <w:tcPr>
            <w:tcW w:w="862" w:type="dxa"/>
            <w:vAlign w:val="center"/>
          </w:tcPr>
          <w:p w14:paraId="09577ED6" w14:textId="77777777" w:rsidR="003241BC" w:rsidRPr="00A1304D" w:rsidRDefault="003241BC" w:rsidP="003241BC">
            <w:pPr>
              <w:jc w:val="right"/>
              <w:rPr>
                <w:rFonts w:ascii="Arial" w:hAnsi="Arial" w:cs="Arial"/>
                <w:szCs w:val="20"/>
              </w:rPr>
            </w:pPr>
            <w:r w:rsidRPr="00A1304D">
              <w:rPr>
                <w:rFonts w:ascii="Arial" w:hAnsi="Arial" w:cs="Arial"/>
                <w:szCs w:val="20"/>
              </w:rPr>
              <w:t>31,1</w:t>
            </w:r>
          </w:p>
        </w:tc>
        <w:tc>
          <w:tcPr>
            <w:tcW w:w="862" w:type="dxa"/>
            <w:vAlign w:val="center"/>
          </w:tcPr>
          <w:p w14:paraId="7CA98D8A" w14:textId="77777777" w:rsidR="003241BC" w:rsidRPr="00A1304D" w:rsidRDefault="003241BC" w:rsidP="003241BC">
            <w:pPr>
              <w:jc w:val="right"/>
              <w:rPr>
                <w:rFonts w:ascii="Arial" w:hAnsi="Arial" w:cs="Arial"/>
                <w:szCs w:val="20"/>
              </w:rPr>
            </w:pPr>
            <w:r w:rsidRPr="00A1304D">
              <w:rPr>
                <w:rFonts w:ascii="Arial" w:hAnsi="Arial" w:cs="Arial"/>
                <w:szCs w:val="20"/>
              </w:rPr>
              <w:t>18,4</w:t>
            </w:r>
          </w:p>
        </w:tc>
        <w:tc>
          <w:tcPr>
            <w:tcW w:w="862" w:type="dxa"/>
            <w:vAlign w:val="center"/>
          </w:tcPr>
          <w:p w14:paraId="0FA7D103" w14:textId="77777777" w:rsidR="003241BC" w:rsidRPr="00A1304D" w:rsidRDefault="003241BC" w:rsidP="003241BC">
            <w:pPr>
              <w:jc w:val="right"/>
              <w:rPr>
                <w:rFonts w:ascii="Arial" w:hAnsi="Arial" w:cs="Arial"/>
                <w:szCs w:val="20"/>
              </w:rPr>
            </w:pPr>
            <w:r w:rsidRPr="00A1304D">
              <w:rPr>
                <w:rFonts w:ascii="Arial" w:hAnsi="Arial" w:cs="Arial"/>
                <w:szCs w:val="20"/>
              </w:rPr>
              <w:t>41,8</w:t>
            </w:r>
          </w:p>
        </w:tc>
        <w:tc>
          <w:tcPr>
            <w:tcW w:w="862" w:type="dxa"/>
            <w:vAlign w:val="center"/>
          </w:tcPr>
          <w:p w14:paraId="340A0687" w14:textId="77777777" w:rsidR="003241BC" w:rsidRPr="00A1304D" w:rsidRDefault="003241BC" w:rsidP="003241BC">
            <w:pPr>
              <w:jc w:val="right"/>
              <w:rPr>
                <w:rFonts w:ascii="Arial" w:hAnsi="Arial" w:cs="Arial"/>
                <w:szCs w:val="20"/>
              </w:rPr>
            </w:pPr>
            <w:r w:rsidRPr="00A1304D">
              <w:rPr>
                <w:rFonts w:ascii="Arial" w:hAnsi="Arial" w:cs="Arial"/>
                <w:szCs w:val="20"/>
              </w:rPr>
              <w:t>15,0</w:t>
            </w:r>
          </w:p>
        </w:tc>
        <w:tc>
          <w:tcPr>
            <w:tcW w:w="862" w:type="dxa"/>
            <w:vAlign w:val="center"/>
          </w:tcPr>
          <w:p w14:paraId="7FA949D9" w14:textId="77777777" w:rsidR="003241BC" w:rsidRPr="00A1304D" w:rsidRDefault="003241BC" w:rsidP="003241BC">
            <w:pPr>
              <w:jc w:val="right"/>
              <w:rPr>
                <w:rFonts w:ascii="Arial" w:hAnsi="Arial" w:cs="Arial"/>
                <w:szCs w:val="20"/>
              </w:rPr>
            </w:pPr>
            <w:r w:rsidRPr="00A1304D">
              <w:rPr>
                <w:rFonts w:ascii="Arial" w:hAnsi="Arial" w:cs="Arial"/>
                <w:szCs w:val="20"/>
              </w:rPr>
              <w:t>8,3</w:t>
            </w:r>
          </w:p>
        </w:tc>
        <w:tc>
          <w:tcPr>
            <w:tcW w:w="863" w:type="dxa"/>
            <w:vAlign w:val="center"/>
          </w:tcPr>
          <w:p w14:paraId="1C82FDC0" w14:textId="77777777" w:rsidR="003241BC" w:rsidRPr="00A1304D" w:rsidRDefault="003241BC" w:rsidP="003241BC">
            <w:pPr>
              <w:jc w:val="right"/>
              <w:rPr>
                <w:rFonts w:ascii="Arial" w:hAnsi="Arial" w:cs="Arial"/>
                <w:szCs w:val="20"/>
              </w:rPr>
            </w:pPr>
            <w:r w:rsidRPr="00A1304D">
              <w:rPr>
                <w:rFonts w:ascii="Arial" w:hAnsi="Arial" w:cs="Arial"/>
                <w:szCs w:val="20"/>
              </w:rPr>
              <w:t>72,3</w:t>
            </w:r>
          </w:p>
        </w:tc>
        <w:tc>
          <w:tcPr>
            <w:tcW w:w="863" w:type="dxa"/>
            <w:vAlign w:val="center"/>
          </w:tcPr>
          <w:p w14:paraId="684D6239" w14:textId="77777777" w:rsidR="003241BC" w:rsidRPr="00A1304D" w:rsidRDefault="003241BC" w:rsidP="003241BC">
            <w:pPr>
              <w:jc w:val="right"/>
              <w:rPr>
                <w:rFonts w:ascii="Arial" w:hAnsi="Arial" w:cs="Arial"/>
                <w:szCs w:val="20"/>
              </w:rPr>
            </w:pPr>
            <w:r w:rsidRPr="00A1304D">
              <w:rPr>
                <w:rFonts w:ascii="Arial" w:hAnsi="Arial" w:cs="Arial"/>
                <w:szCs w:val="20"/>
              </w:rPr>
              <w:t>24,9</w:t>
            </w:r>
          </w:p>
        </w:tc>
      </w:tr>
      <w:tr w:rsidR="003241BC" w:rsidRPr="003241BC" w14:paraId="4FCE4056" w14:textId="77777777" w:rsidTr="009740D0">
        <w:tc>
          <w:tcPr>
            <w:tcW w:w="1118" w:type="dxa"/>
          </w:tcPr>
          <w:p w14:paraId="47617E6A" w14:textId="77777777" w:rsidR="003241BC" w:rsidRPr="00A1304D" w:rsidRDefault="003241BC" w:rsidP="003241BC">
            <w:pPr>
              <w:jc w:val="both"/>
              <w:rPr>
                <w:rFonts w:ascii="Arial" w:hAnsi="Arial" w:cs="Arial"/>
                <w:i/>
                <w:szCs w:val="20"/>
              </w:rPr>
            </w:pPr>
            <w:r w:rsidRPr="00A1304D">
              <w:rPr>
                <w:rFonts w:ascii="Arial" w:hAnsi="Arial" w:cs="Arial"/>
                <w:i/>
                <w:szCs w:val="20"/>
              </w:rPr>
              <w:t>70 ans ou plus</w:t>
            </w:r>
          </w:p>
        </w:tc>
        <w:tc>
          <w:tcPr>
            <w:tcW w:w="1272" w:type="dxa"/>
            <w:vAlign w:val="center"/>
          </w:tcPr>
          <w:p w14:paraId="023B76D0" w14:textId="77777777" w:rsidR="003241BC" w:rsidRPr="00A1304D" w:rsidRDefault="003241BC" w:rsidP="003241BC">
            <w:pPr>
              <w:tabs>
                <w:tab w:val="left" w:pos="764"/>
              </w:tabs>
              <w:ind w:right="237"/>
              <w:jc w:val="right"/>
              <w:rPr>
                <w:rFonts w:ascii="Arial" w:hAnsi="Arial" w:cs="Arial"/>
                <w:szCs w:val="20"/>
              </w:rPr>
            </w:pPr>
            <w:r w:rsidRPr="00A1304D">
              <w:rPr>
                <w:rFonts w:ascii="Arial" w:hAnsi="Arial" w:cs="Arial"/>
                <w:szCs w:val="20"/>
              </w:rPr>
              <w:t>20,5</w:t>
            </w:r>
          </w:p>
        </w:tc>
        <w:tc>
          <w:tcPr>
            <w:tcW w:w="862" w:type="dxa"/>
            <w:vAlign w:val="center"/>
          </w:tcPr>
          <w:p w14:paraId="3E49B5EC" w14:textId="77777777" w:rsidR="003241BC" w:rsidRPr="00A1304D" w:rsidRDefault="003241BC" w:rsidP="003241BC">
            <w:pPr>
              <w:jc w:val="right"/>
              <w:rPr>
                <w:rFonts w:ascii="Arial" w:hAnsi="Arial" w:cs="Arial"/>
                <w:szCs w:val="20"/>
              </w:rPr>
            </w:pPr>
            <w:r w:rsidRPr="00A1304D">
              <w:rPr>
                <w:rFonts w:ascii="Arial" w:hAnsi="Arial" w:cs="Arial"/>
                <w:szCs w:val="20"/>
              </w:rPr>
              <w:t>82,5</w:t>
            </w:r>
          </w:p>
        </w:tc>
        <w:tc>
          <w:tcPr>
            <w:tcW w:w="862" w:type="dxa"/>
            <w:vAlign w:val="center"/>
          </w:tcPr>
          <w:p w14:paraId="2CD4E698" w14:textId="77777777" w:rsidR="003241BC" w:rsidRPr="00A1304D" w:rsidRDefault="003241BC" w:rsidP="003241BC">
            <w:pPr>
              <w:jc w:val="right"/>
              <w:rPr>
                <w:rFonts w:ascii="Arial" w:hAnsi="Arial" w:cs="Arial"/>
                <w:szCs w:val="20"/>
              </w:rPr>
            </w:pPr>
            <w:r w:rsidRPr="00A1304D">
              <w:rPr>
                <w:rFonts w:ascii="Arial" w:hAnsi="Arial" w:cs="Arial"/>
                <w:szCs w:val="20"/>
              </w:rPr>
              <w:t>20,3</w:t>
            </w:r>
          </w:p>
        </w:tc>
        <w:tc>
          <w:tcPr>
            <w:tcW w:w="862" w:type="dxa"/>
            <w:vAlign w:val="center"/>
          </w:tcPr>
          <w:p w14:paraId="7E9F271D" w14:textId="77777777" w:rsidR="003241BC" w:rsidRPr="00A1304D" w:rsidRDefault="003241BC" w:rsidP="003241BC">
            <w:pPr>
              <w:jc w:val="right"/>
              <w:rPr>
                <w:rFonts w:ascii="Arial" w:hAnsi="Arial" w:cs="Arial"/>
                <w:szCs w:val="20"/>
              </w:rPr>
            </w:pPr>
            <w:r w:rsidRPr="00A1304D">
              <w:rPr>
                <w:rFonts w:ascii="Arial" w:hAnsi="Arial" w:cs="Arial"/>
                <w:szCs w:val="20"/>
              </w:rPr>
              <w:t>16,5</w:t>
            </w:r>
          </w:p>
        </w:tc>
        <w:tc>
          <w:tcPr>
            <w:tcW w:w="862" w:type="dxa"/>
            <w:vAlign w:val="center"/>
          </w:tcPr>
          <w:p w14:paraId="3AAC71D5" w14:textId="77777777" w:rsidR="003241BC" w:rsidRPr="00A1304D" w:rsidRDefault="003241BC" w:rsidP="003241BC">
            <w:pPr>
              <w:jc w:val="right"/>
              <w:rPr>
                <w:rFonts w:ascii="Arial" w:hAnsi="Arial" w:cs="Arial"/>
                <w:szCs w:val="20"/>
              </w:rPr>
            </w:pPr>
            <w:r w:rsidRPr="00A1304D">
              <w:rPr>
                <w:rFonts w:ascii="Arial" w:hAnsi="Arial" w:cs="Arial"/>
                <w:szCs w:val="20"/>
              </w:rPr>
              <w:t>42,7</w:t>
            </w:r>
          </w:p>
        </w:tc>
        <w:tc>
          <w:tcPr>
            <w:tcW w:w="862" w:type="dxa"/>
            <w:vAlign w:val="center"/>
          </w:tcPr>
          <w:p w14:paraId="0497BA3F" w14:textId="77777777" w:rsidR="003241BC" w:rsidRPr="00A1304D" w:rsidRDefault="003241BC" w:rsidP="003241BC">
            <w:pPr>
              <w:jc w:val="right"/>
              <w:rPr>
                <w:rFonts w:ascii="Arial" w:hAnsi="Arial" w:cs="Arial"/>
                <w:szCs w:val="20"/>
              </w:rPr>
            </w:pPr>
            <w:r w:rsidRPr="00A1304D">
              <w:rPr>
                <w:rFonts w:ascii="Arial" w:hAnsi="Arial" w:cs="Arial"/>
                <w:szCs w:val="20"/>
              </w:rPr>
              <w:t>9,3</w:t>
            </w:r>
          </w:p>
        </w:tc>
        <w:tc>
          <w:tcPr>
            <w:tcW w:w="862" w:type="dxa"/>
            <w:vAlign w:val="center"/>
          </w:tcPr>
          <w:p w14:paraId="4BD0A966" w14:textId="77777777" w:rsidR="003241BC" w:rsidRPr="00A1304D" w:rsidRDefault="003241BC" w:rsidP="003241BC">
            <w:pPr>
              <w:jc w:val="right"/>
              <w:rPr>
                <w:rFonts w:ascii="Arial" w:hAnsi="Arial" w:cs="Arial"/>
                <w:szCs w:val="20"/>
              </w:rPr>
            </w:pPr>
            <w:r w:rsidRPr="00A1304D">
              <w:rPr>
                <w:rFonts w:ascii="Arial" w:hAnsi="Arial" w:cs="Arial"/>
                <w:szCs w:val="20"/>
              </w:rPr>
              <w:t>1,3</w:t>
            </w:r>
          </w:p>
        </w:tc>
        <w:tc>
          <w:tcPr>
            <w:tcW w:w="863" w:type="dxa"/>
            <w:vAlign w:val="center"/>
          </w:tcPr>
          <w:p w14:paraId="1EFF95D5" w14:textId="77777777" w:rsidR="003241BC" w:rsidRPr="00A1304D" w:rsidRDefault="003241BC" w:rsidP="003241BC">
            <w:pPr>
              <w:jc w:val="right"/>
              <w:rPr>
                <w:rFonts w:ascii="Arial" w:hAnsi="Arial" w:cs="Arial"/>
                <w:szCs w:val="20"/>
              </w:rPr>
            </w:pPr>
            <w:r w:rsidRPr="00A1304D">
              <w:rPr>
                <w:rFonts w:ascii="Arial" w:hAnsi="Arial" w:cs="Arial"/>
                <w:szCs w:val="20"/>
              </w:rPr>
              <w:t>72,4</w:t>
            </w:r>
          </w:p>
        </w:tc>
        <w:tc>
          <w:tcPr>
            <w:tcW w:w="863" w:type="dxa"/>
            <w:vAlign w:val="center"/>
          </w:tcPr>
          <w:p w14:paraId="4E23D5CF" w14:textId="77777777" w:rsidR="003241BC" w:rsidRPr="00A1304D" w:rsidRDefault="003241BC" w:rsidP="003241BC">
            <w:pPr>
              <w:jc w:val="right"/>
              <w:rPr>
                <w:rFonts w:ascii="Arial" w:hAnsi="Arial" w:cs="Arial"/>
                <w:szCs w:val="20"/>
              </w:rPr>
            </w:pPr>
            <w:r w:rsidRPr="00A1304D">
              <w:rPr>
                <w:rFonts w:ascii="Arial" w:hAnsi="Arial" w:cs="Arial"/>
                <w:szCs w:val="20"/>
              </w:rPr>
              <w:t>17,2</w:t>
            </w:r>
          </w:p>
        </w:tc>
      </w:tr>
    </w:tbl>
    <w:p w14:paraId="368710CA" w14:textId="77777777" w:rsidR="003241BC" w:rsidRPr="003241BC" w:rsidRDefault="003241BC" w:rsidP="003241BC">
      <w:pPr>
        <w:spacing w:after="0" w:line="240" w:lineRule="auto"/>
        <w:jc w:val="both"/>
        <w:rPr>
          <w:rFonts w:ascii="Arial" w:hAnsi="Arial" w:cs="Arial"/>
          <w:sz w:val="24"/>
          <w:szCs w:val="24"/>
        </w:rPr>
      </w:pPr>
    </w:p>
    <w:p w14:paraId="769BDE49" w14:textId="77777777" w:rsidR="003241BC" w:rsidRPr="003241BC" w:rsidRDefault="003241BC" w:rsidP="003241BC">
      <w:pPr>
        <w:spacing w:after="0" w:line="240" w:lineRule="auto"/>
        <w:jc w:val="both"/>
        <w:rPr>
          <w:rFonts w:ascii="Arial" w:hAnsi="Arial" w:cs="Arial"/>
          <w:sz w:val="24"/>
          <w:szCs w:val="24"/>
        </w:rPr>
      </w:pPr>
      <w:r w:rsidRPr="003241BC">
        <w:rPr>
          <w:rFonts w:ascii="Arial" w:hAnsi="Arial" w:cs="Arial"/>
          <w:sz w:val="24"/>
          <w:szCs w:val="24"/>
        </w:rPr>
        <w:t xml:space="preserve">Remarque : les valeurs mobilières sont une catégorie de titres financiers, qui peut-être soit un titre de propriété (une action) soit un titre de créance (une obligation) qui donne des droits à rémunération. </w:t>
      </w:r>
    </w:p>
    <w:p w14:paraId="54AB8C9B" w14:textId="77777777" w:rsidR="003241BC" w:rsidRPr="003241BC" w:rsidRDefault="003241BC" w:rsidP="003241BC">
      <w:pPr>
        <w:spacing w:after="0" w:line="240" w:lineRule="auto"/>
        <w:jc w:val="both"/>
        <w:rPr>
          <w:rFonts w:ascii="Arial" w:hAnsi="Arial" w:cs="Arial"/>
          <w:sz w:val="24"/>
          <w:szCs w:val="24"/>
        </w:rPr>
      </w:pPr>
    </w:p>
    <w:p w14:paraId="543DFA56" w14:textId="77777777" w:rsidR="003241BC" w:rsidRDefault="003241BC" w:rsidP="003241BC">
      <w:pPr>
        <w:spacing w:before="120" w:after="120" w:line="240" w:lineRule="auto"/>
        <w:jc w:val="both"/>
        <w:rPr>
          <w:rFonts w:ascii="Arial" w:hAnsi="Arial" w:cs="Arial"/>
          <w:b/>
          <w:bCs/>
          <w:sz w:val="28"/>
          <w:szCs w:val="28"/>
        </w:rPr>
      </w:pPr>
      <w:r w:rsidRPr="003241BC">
        <w:rPr>
          <w:rFonts w:ascii="Arial" w:hAnsi="Arial" w:cs="Arial"/>
          <w:i/>
          <w:iCs/>
          <w:sz w:val="24"/>
          <w:szCs w:val="24"/>
        </w:rPr>
        <w:t>Source : Les revenus et le patrimoine des ménages, édition 2018 - Insee Références</w:t>
      </w:r>
    </w:p>
    <w:p w14:paraId="68B9A1E3" w14:textId="77777777" w:rsidR="003241BC" w:rsidRDefault="003241BC" w:rsidP="00D45524">
      <w:pPr>
        <w:spacing w:before="120" w:after="120" w:line="240" w:lineRule="auto"/>
        <w:jc w:val="both"/>
        <w:rPr>
          <w:rFonts w:ascii="Arial" w:hAnsi="Arial" w:cs="Arial"/>
          <w:b/>
          <w:bCs/>
          <w:sz w:val="28"/>
          <w:szCs w:val="28"/>
        </w:rPr>
      </w:pPr>
      <w:r>
        <w:rPr>
          <w:rFonts w:ascii="Arial" w:hAnsi="Arial" w:cs="Arial"/>
          <w:b/>
          <w:bCs/>
          <w:sz w:val="28"/>
          <w:szCs w:val="28"/>
        </w:rPr>
        <w:br w:type="page"/>
      </w:r>
    </w:p>
    <w:p w14:paraId="348469D7" w14:textId="77777777" w:rsidR="00D45524" w:rsidRDefault="00EE3257" w:rsidP="00D45524">
      <w:pPr>
        <w:spacing w:before="120" w:after="120" w:line="240" w:lineRule="auto"/>
        <w:jc w:val="both"/>
        <w:rPr>
          <w:rFonts w:ascii="Arial" w:hAnsi="Arial" w:cs="Arial"/>
          <w:b/>
          <w:bCs/>
          <w:sz w:val="28"/>
          <w:szCs w:val="28"/>
        </w:rPr>
      </w:pPr>
      <w:r>
        <w:rPr>
          <w:rFonts w:ascii="Arial" w:hAnsi="Arial" w:cs="Arial"/>
          <w:b/>
          <w:bCs/>
          <w:sz w:val="28"/>
          <w:szCs w:val="28"/>
        </w:rPr>
        <w:lastRenderedPageBreak/>
        <w:t>SUJET</w:t>
      </w:r>
      <w:r w:rsidR="00D45524" w:rsidRPr="00E322D0">
        <w:rPr>
          <w:rFonts w:ascii="Arial" w:hAnsi="Arial" w:cs="Arial"/>
          <w:b/>
          <w:bCs/>
          <w:sz w:val="28"/>
          <w:szCs w:val="28"/>
        </w:rPr>
        <w:t xml:space="preserve"> 2 </w:t>
      </w:r>
    </w:p>
    <w:p w14:paraId="56DD37EB"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sz w:val="16"/>
          <w:szCs w:val="24"/>
        </w:rPr>
      </w:pPr>
    </w:p>
    <w:p w14:paraId="7FB711E7"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sz w:val="24"/>
          <w:szCs w:val="24"/>
        </w:rPr>
      </w:pPr>
      <w:r w:rsidRPr="003241BC">
        <w:rPr>
          <w:rFonts w:ascii="Arial" w:eastAsia="Calibri" w:hAnsi="Arial" w:cs="Arial"/>
          <w:b/>
          <w:sz w:val="24"/>
          <w:szCs w:val="24"/>
        </w:rPr>
        <w:t xml:space="preserve">À partir de vos connaissances et des annexes, répondez aux questions suivantes : </w:t>
      </w:r>
    </w:p>
    <w:p w14:paraId="2D36BB76"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sz w:val="24"/>
          <w:szCs w:val="24"/>
        </w:rPr>
      </w:pPr>
    </w:p>
    <w:p w14:paraId="27C2711D" w14:textId="77777777" w:rsidR="003241BC" w:rsidRPr="00DA6177" w:rsidRDefault="003241BC" w:rsidP="003241BC">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sz w:val="24"/>
          <w:szCs w:val="24"/>
        </w:rPr>
      </w:pPr>
      <w:r w:rsidRPr="00DA6177">
        <w:rPr>
          <w:rFonts w:ascii="Arial" w:eastAsia="Calibri" w:hAnsi="Arial" w:cs="Arial"/>
          <w:b/>
          <w:sz w:val="24"/>
          <w:szCs w:val="24"/>
        </w:rPr>
        <w:t>Décrivez l’évolution du taux de croissance entre 2007 et 2020.</w:t>
      </w:r>
    </w:p>
    <w:p w14:paraId="697A37CE" w14:textId="77777777" w:rsidR="003241BC" w:rsidRPr="00DA6177" w:rsidRDefault="003241BC" w:rsidP="003241BC">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sz w:val="24"/>
          <w:szCs w:val="24"/>
        </w:rPr>
      </w:pPr>
      <w:r w:rsidRPr="00DA6177">
        <w:rPr>
          <w:rFonts w:ascii="Arial" w:eastAsia="Calibri" w:hAnsi="Arial" w:cs="Arial"/>
          <w:b/>
          <w:sz w:val="24"/>
          <w:szCs w:val="24"/>
        </w:rPr>
        <w:t>Expliquez le lien entre les évolutions du taux de croissance, du revenu disponible et du taux d’épargne entre 2019 et 2020.</w:t>
      </w:r>
    </w:p>
    <w:p w14:paraId="10BBC49D" w14:textId="77777777" w:rsidR="003241BC" w:rsidRPr="00DA6177" w:rsidRDefault="003241BC" w:rsidP="003241BC">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sz w:val="24"/>
          <w:szCs w:val="24"/>
        </w:rPr>
      </w:pPr>
      <w:r w:rsidRPr="00DA6177">
        <w:rPr>
          <w:rFonts w:ascii="Arial" w:eastAsia="Calibri" w:hAnsi="Arial" w:cs="Arial"/>
          <w:b/>
          <w:sz w:val="24"/>
          <w:szCs w:val="24"/>
        </w:rPr>
        <w:t>Déterminez les effets de la crise sur la demande de biens et services pour les entreprises fran</w:t>
      </w:r>
      <w:bookmarkStart w:id="18" w:name="_GoBack"/>
      <w:bookmarkEnd w:id="18"/>
      <w:r w:rsidRPr="00DA6177">
        <w:rPr>
          <w:rFonts w:ascii="Arial" w:eastAsia="Calibri" w:hAnsi="Arial" w:cs="Arial"/>
          <w:b/>
          <w:sz w:val="24"/>
          <w:szCs w:val="24"/>
        </w:rPr>
        <w:t>çaises.</w:t>
      </w:r>
    </w:p>
    <w:p w14:paraId="0E72684C" w14:textId="13983B4E" w:rsidR="003241BC" w:rsidRPr="00DA6177" w:rsidRDefault="003241BC" w:rsidP="003241BC">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sz w:val="24"/>
          <w:szCs w:val="24"/>
        </w:rPr>
      </w:pPr>
      <w:r w:rsidRPr="00DA6177">
        <w:rPr>
          <w:rFonts w:ascii="Arial" w:eastAsia="Calibri" w:hAnsi="Arial" w:cs="Arial"/>
          <w:b/>
          <w:sz w:val="24"/>
          <w:szCs w:val="24"/>
        </w:rPr>
        <w:t>Distinguez les principaux éléments du plan de relance de la France en 2020</w:t>
      </w:r>
      <w:r w:rsidR="00CD0326" w:rsidRPr="00DA6177">
        <w:rPr>
          <w:rFonts w:ascii="Arial" w:eastAsia="Calibri" w:hAnsi="Arial" w:cs="Arial"/>
          <w:b/>
          <w:sz w:val="24"/>
          <w:szCs w:val="24"/>
        </w:rPr>
        <w:t>.</w:t>
      </w:r>
    </w:p>
    <w:p w14:paraId="5617D3FF" w14:textId="77777777" w:rsidR="003241BC" w:rsidRPr="00DA6177" w:rsidRDefault="003241BC" w:rsidP="003241BC">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sz w:val="24"/>
          <w:szCs w:val="24"/>
        </w:rPr>
      </w:pPr>
      <w:r w:rsidRPr="00DA6177">
        <w:rPr>
          <w:rFonts w:ascii="Arial" w:eastAsia="Calibri" w:hAnsi="Arial" w:cs="Arial"/>
          <w:b/>
          <w:sz w:val="24"/>
          <w:szCs w:val="24"/>
        </w:rPr>
        <w:t xml:space="preserve">Rédigez une argumentation qui vous permette de répondre à la question suivante : </w:t>
      </w:r>
    </w:p>
    <w:p w14:paraId="6B2CB3CD"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20"/>
        <w:jc w:val="both"/>
        <w:rPr>
          <w:rFonts w:ascii="Arial" w:eastAsia="Calibri" w:hAnsi="Arial" w:cs="Arial"/>
          <w:sz w:val="24"/>
          <w:szCs w:val="24"/>
        </w:rPr>
      </w:pPr>
    </w:p>
    <w:p w14:paraId="2CFABB55"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20" w:hanging="360"/>
        <w:jc w:val="center"/>
        <w:rPr>
          <w:rFonts w:ascii="Calibri" w:eastAsia="Calibri" w:hAnsi="Calibri" w:cs="Calibri"/>
        </w:rPr>
      </w:pPr>
      <w:r w:rsidRPr="003241BC">
        <w:rPr>
          <w:rFonts w:ascii="Arial" w:eastAsia="Calibri" w:hAnsi="Arial" w:cs="Arial"/>
          <w:b/>
          <w:bCs/>
          <w:sz w:val="24"/>
          <w:szCs w:val="24"/>
        </w:rPr>
        <w:t>Une politique budgétaire de relance peut-elle suffire à assurer une reprise de l’activité économique ?</w:t>
      </w:r>
    </w:p>
    <w:p w14:paraId="29F16919"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Arial" w:eastAsia="Calibri" w:hAnsi="Arial" w:cs="Arial"/>
          <w:sz w:val="24"/>
          <w:szCs w:val="24"/>
        </w:rPr>
      </w:pPr>
    </w:p>
    <w:p w14:paraId="2D59A6EB"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rPr>
          <w:rFonts w:ascii="Arial" w:eastAsia="Calibri" w:hAnsi="Arial" w:cs="Arial"/>
          <w:sz w:val="24"/>
          <w:szCs w:val="24"/>
        </w:rPr>
      </w:pPr>
    </w:p>
    <w:p w14:paraId="6365601B"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rPr>
          <w:rFonts w:ascii="Arial" w:eastAsia="Calibri" w:hAnsi="Arial" w:cs="Arial"/>
          <w:sz w:val="24"/>
          <w:szCs w:val="24"/>
        </w:rPr>
      </w:pPr>
    </w:p>
    <w:p w14:paraId="4324EABD"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rPr>
          <w:rFonts w:ascii="Arial" w:eastAsia="Calibri" w:hAnsi="Arial" w:cs="Arial"/>
          <w:sz w:val="24"/>
          <w:szCs w:val="24"/>
        </w:rPr>
      </w:pPr>
    </w:p>
    <w:p w14:paraId="7A4E22F5"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rPr>
          <w:rFonts w:ascii="Arial" w:eastAsia="Calibri" w:hAnsi="Arial" w:cs="Arial"/>
          <w:sz w:val="24"/>
          <w:szCs w:val="24"/>
        </w:rPr>
      </w:pPr>
    </w:p>
    <w:p w14:paraId="22A00A17"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rPr>
          <w:rFonts w:ascii="Arial" w:eastAsia="Calibri" w:hAnsi="Arial" w:cs="Arial"/>
          <w:b/>
          <w:bCs/>
          <w:sz w:val="24"/>
          <w:szCs w:val="24"/>
          <w:u w:val="single"/>
        </w:rPr>
      </w:pPr>
      <w:r w:rsidRPr="003241BC">
        <w:rPr>
          <w:rFonts w:ascii="Arial" w:eastAsia="Calibri" w:hAnsi="Arial" w:cs="Arial"/>
          <w:b/>
          <w:bCs/>
          <w:sz w:val="24"/>
          <w:szCs w:val="24"/>
          <w:u w:val="single"/>
        </w:rPr>
        <w:t xml:space="preserve">Annexes: </w:t>
      </w:r>
    </w:p>
    <w:p w14:paraId="70AFDC36"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rPr>
          <w:rFonts w:ascii="Arial" w:eastAsia="Calibri" w:hAnsi="Arial" w:cs="Arial"/>
          <w:sz w:val="24"/>
          <w:szCs w:val="24"/>
          <w:u w:val="single"/>
        </w:rPr>
      </w:pPr>
    </w:p>
    <w:p w14:paraId="259FE4E0"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1191" w:hanging="1191"/>
        <w:rPr>
          <w:rFonts w:ascii="Arial" w:eastAsia="Calibri" w:hAnsi="Arial" w:cs="Arial"/>
          <w:sz w:val="24"/>
          <w:szCs w:val="24"/>
        </w:rPr>
      </w:pPr>
      <w:r w:rsidRPr="003241BC">
        <w:rPr>
          <w:rFonts w:ascii="Arial" w:eastAsia="Calibri" w:hAnsi="Arial" w:cs="Arial"/>
          <w:sz w:val="24"/>
          <w:szCs w:val="24"/>
          <w:u w:val="single"/>
        </w:rPr>
        <w:t>Annexe 1</w:t>
      </w:r>
      <w:r w:rsidRPr="003241BC">
        <w:rPr>
          <w:rFonts w:ascii="Arial" w:eastAsia="Calibri" w:hAnsi="Arial" w:cs="Arial"/>
          <w:sz w:val="24"/>
          <w:szCs w:val="24"/>
        </w:rPr>
        <w:t> : Taux de croissance du PIB de 2007 à 2020 (en %).</w:t>
      </w:r>
    </w:p>
    <w:p w14:paraId="021C3687"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tabs>
          <w:tab w:val="left" w:pos="1276"/>
        </w:tabs>
        <w:spacing w:before="120" w:after="120" w:line="240" w:lineRule="auto"/>
        <w:ind w:left="1191" w:hanging="1191"/>
        <w:rPr>
          <w:rFonts w:ascii="Arial" w:eastAsia="Calibri" w:hAnsi="Arial" w:cs="Arial"/>
          <w:sz w:val="24"/>
          <w:szCs w:val="24"/>
        </w:rPr>
      </w:pPr>
      <w:r w:rsidRPr="003241BC">
        <w:rPr>
          <w:rFonts w:ascii="Arial" w:eastAsia="Calibri" w:hAnsi="Arial" w:cs="Arial"/>
          <w:sz w:val="24"/>
          <w:szCs w:val="24"/>
          <w:u w:val="single"/>
        </w:rPr>
        <w:t>Annexe 2</w:t>
      </w:r>
      <w:r w:rsidRPr="003241BC">
        <w:rPr>
          <w:rFonts w:ascii="Arial" w:eastAsia="Calibri" w:hAnsi="Arial" w:cs="Arial"/>
          <w:sz w:val="24"/>
          <w:szCs w:val="24"/>
        </w:rPr>
        <w:t> : Évolution du revenu disponible brut et des taux d’épargne et de consommation entre 2019 et 2020.</w:t>
      </w:r>
    </w:p>
    <w:p w14:paraId="0F6481A8"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1191" w:hanging="1191"/>
        <w:rPr>
          <w:rFonts w:ascii="Arial" w:eastAsia="Calibri" w:hAnsi="Arial" w:cs="Arial"/>
          <w:sz w:val="24"/>
          <w:szCs w:val="24"/>
        </w:rPr>
      </w:pPr>
      <w:r w:rsidRPr="003241BC">
        <w:rPr>
          <w:rFonts w:ascii="Arial" w:eastAsia="Calibri" w:hAnsi="Arial" w:cs="Arial"/>
          <w:sz w:val="24"/>
          <w:szCs w:val="24"/>
          <w:u w:val="single"/>
        </w:rPr>
        <w:t>Annexe 3</w:t>
      </w:r>
      <w:r w:rsidRPr="003241BC">
        <w:rPr>
          <w:rFonts w:ascii="Arial" w:eastAsia="Calibri" w:hAnsi="Arial" w:cs="Arial"/>
          <w:sz w:val="24"/>
          <w:szCs w:val="24"/>
        </w:rPr>
        <w:t> : Les entreprises françaises craignent de perdre leurs débouchés.</w:t>
      </w:r>
    </w:p>
    <w:p w14:paraId="1DCECEBF"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1191" w:hanging="1191"/>
        <w:rPr>
          <w:rFonts w:ascii="Arial" w:eastAsia="Calibri" w:hAnsi="Arial" w:cs="Arial"/>
          <w:sz w:val="24"/>
          <w:szCs w:val="24"/>
        </w:rPr>
      </w:pPr>
      <w:r w:rsidRPr="003241BC">
        <w:rPr>
          <w:rFonts w:ascii="Arial" w:eastAsia="Calibri" w:hAnsi="Arial" w:cs="Arial"/>
          <w:sz w:val="24"/>
          <w:szCs w:val="24"/>
          <w:u w:val="single"/>
        </w:rPr>
        <w:t>Annexe 4</w:t>
      </w:r>
      <w:r w:rsidRPr="003241BC">
        <w:rPr>
          <w:rFonts w:ascii="Arial" w:eastAsia="Calibri" w:hAnsi="Arial" w:cs="Arial"/>
          <w:sz w:val="24"/>
          <w:szCs w:val="24"/>
        </w:rPr>
        <w:t> : Qu'est-ce qu'une politique budgétaire ?</w:t>
      </w:r>
    </w:p>
    <w:p w14:paraId="21DE2F29"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1191" w:hanging="1191"/>
        <w:rPr>
          <w:rFonts w:ascii="Arial" w:eastAsia="Times New Roman" w:hAnsi="Arial" w:cs="Arial"/>
          <w:sz w:val="24"/>
          <w:szCs w:val="24"/>
          <w:lang w:eastAsia="fr-FR"/>
        </w:rPr>
      </w:pPr>
      <w:r w:rsidRPr="003241BC">
        <w:rPr>
          <w:rFonts w:ascii="Arial" w:eastAsia="Times New Roman" w:hAnsi="Arial" w:cs="Arial"/>
          <w:sz w:val="24"/>
          <w:szCs w:val="24"/>
          <w:u w:val="single"/>
          <w:lang w:eastAsia="fr-FR"/>
        </w:rPr>
        <w:t>Annexe 5</w:t>
      </w:r>
      <w:r w:rsidRPr="003241BC">
        <w:rPr>
          <w:rFonts w:ascii="Arial" w:eastAsia="Times New Roman" w:hAnsi="Arial" w:cs="Arial"/>
          <w:sz w:val="24"/>
          <w:szCs w:val="24"/>
          <w:lang w:eastAsia="fr-FR"/>
        </w:rPr>
        <w:t> : Lancement du Plan de relance de la France le 3 septembre 2020.</w:t>
      </w:r>
    </w:p>
    <w:p w14:paraId="63C3ED17"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1191" w:hanging="1191"/>
        <w:rPr>
          <w:rFonts w:ascii="Arial" w:eastAsia="Calibri" w:hAnsi="Arial" w:cs="Arial"/>
          <w:sz w:val="24"/>
          <w:szCs w:val="24"/>
        </w:rPr>
      </w:pPr>
      <w:r w:rsidRPr="003241BC">
        <w:rPr>
          <w:rFonts w:ascii="Arial" w:eastAsia="Calibri" w:hAnsi="Arial" w:cs="Arial"/>
          <w:sz w:val="24"/>
          <w:szCs w:val="24"/>
          <w:u w:val="single"/>
        </w:rPr>
        <w:t>Annexe 6</w:t>
      </w:r>
      <w:r w:rsidRPr="003241BC">
        <w:rPr>
          <w:rFonts w:ascii="Arial" w:eastAsia="Calibri" w:hAnsi="Arial" w:cs="Arial"/>
          <w:sz w:val="24"/>
          <w:szCs w:val="24"/>
        </w:rPr>
        <w:t> : Les politiques fiscale et budgétaire pour soutenir la reprise de l’activité économique.</w:t>
      </w:r>
    </w:p>
    <w:p w14:paraId="6E6B8A35" w14:textId="77777777" w:rsidR="003241BC" w:rsidRDefault="003241BC" w:rsidP="00D45524">
      <w:pPr>
        <w:rPr>
          <w:rFonts w:ascii="Arial" w:hAnsi="Arial" w:cs="Arial"/>
          <w:b/>
          <w:bCs/>
          <w:sz w:val="28"/>
          <w:szCs w:val="28"/>
        </w:rPr>
      </w:pPr>
      <w:r>
        <w:rPr>
          <w:rFonts w:ascii="Arial" w:hAnsi="Arial" w:cs="Arial"/>
          <w:b/>
          <w:bCs/>
          <w:sz w:val="28"/>
          <w:szCs w:val="28"/>
        </w:rPr>
        <w:br w:type="page"/>
      </w:r>
    </w:p>
    <w:p w14:paraId="2EA200F3" w14:textId="1062A12D"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rPr>
          <w:rFonts w:ascii="Arial" w:eastAsia="Calibri" w:hAnsi="Arial" w:cs="Arial"/>
          <w:b/>
          <w:bCs/>
          <w:sz w:val="24"/>
          <w:szCs w:val="24"/>
        </w:rPr>
      </w:pPr>
      <w:r w:rsidRPr="003241BC">
        <w:rPr>
          <w:rFonts w:ascii="Arial" w:eastAsia="Calibri" w:hAnsi="Arial" w:cs="Arial"/>
          <w:b/>
          <w:bCs/>
          <w:sz w:val="24"/>
          <w:szCs w:val="24"/>
          <w:u w:val="single"/>
        </w:rPr>
        <w:lastRenderedPageBreak/>
        <w:t>Annexe 1</w:t>
      </w:r>
      <w:r w:rsidR="0063434D">
        <w:rPr>
          <w:rFonts w:ascii="Arial" w:eastAsia="Calibri" w:hAnsi="Arial" w:cs="Arial"/>
          <w:b/>
          <w:bCs/>
          <w:sz w:val="24"/>
          <w:szCs w:val="24"/>
        </w:rPr>
        <w:t xml:space="preserve"> :</w:t>
      </w:r>
      <w:r w:rsidRPr="003241BC">
        <w:rPr>
          <w:rFonts w:ascii="Arial" w:eastAsia="Calibri" w:hAnsi="Arial" w:cs="Arial"/>
          <w:b/>
          <w:bCs/>
          <w:sz w:val="24"/>
          <w:szCs w:val="24"/>
        </w:rPr>
        <w:t xml:space="preserve"> Taux de croissance du PIB de 2007 à 2020 (en %)</w:t>
      </w:r>
    </w:p>
    <w:p w14:paraId="180B411F"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rPr>
          <w:rFonts w:ascii="Arial" w:eastAsia="Calibri" w:hAnsi="Arial" w:cs="Arial"/>
          <w:sz w:val="24"/>
          <w:szCs w:val="24"/>
        </w:rPr>
      </w:pPr>
      <w:r w:rsidRPr="003241BC">
        <w:rPr>
          <w:rFonts w:ascii="Arial" w:eastAsia="Calibri" w:hAnsi="Arial" w:cs="Arial"/>
          <w:noProof/>
          <w:sz w:val="24"/>
          <w:szCs w:val="24"/>
          <w:lang w:eastAsia="fr-FR"/>
        </w:rPr>
        <w:drawing>
          <wp:inline distT="0" distB="0" distL="0" distR="0" wp14:anchorId="5BEF0370" wp14:editId="7B63B973">
            <wp:extent cx="5576570" cy="2240280"/>
            <wp:effectExtent l="0" t="0" r="508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6" cstate="print"/>
                    <a:srcRect l="23810" t="36047" r="25527" b="27771"/>
                    <a:stretch/>
                  </pic:blipFill>
                  <pic:spPr bwMode="auto">
                    <a:xfrm>
                      <a:off x="0" y="0"/>
                      <a:ext cx="5589400" cy="2245434"/>
                    </a:xfrm>
                    <a:prstGeom prst="rect">
                      <a:avLst/>
                    </a:prstGeom>
                    <a:ln>
                      <a:noFill/>
                    </a:ln>
                  </pic:spPr>
                </pic:pic>
              </a:graphicData>
            </a:graphic>
          </wp:inline>
        </w:drawing>
      </w:r>
    </w:p>
    <w:p w14:paraId="02CE09BF"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jc w:val="center"/>
        <w:rPr>
          <w:rFonts w:ascii="Arial" w:eastAsia="Calibri" w:hAnsi="Arial" w:cs="Arial"/>
          <w:i/>
          <w:iCs/>
          <w:sz w:val="20"/>
          <w:szCs w:val="20"/>
        </w:rPr>
      </w:pPr>
      <w:r w:rsidRPr="003241BC">
        <w:rPr>
          <w:rFonts w:ascii="Arial" w:eastAsia="Calibri" w:hAnsi="Arial" w:cs="Arial"/>
          <w:i/>
          <w:iCs/>
          <w:sz w:val="20"/>
          <w:szCs w:val="20"/>
        </w:rPr>
        <w:t>Note de lecture : le taux de croissance de 2020 à -8% est une prévision de septembre 2020</w:t>
      </w:r>
    </w:p>
    <w:p w14:paraId="3558A2CE"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jc w:val="right"/>
        <w:rPr>
          <w:rFonts w:ascii="Arial" w:eastAsia="Calibri" w:hAnsi="Arial" w:cs="Arial"/>
          <w:i/>
          <w:iCs/>
          <w:sz w:val="24"/>
          <w:szCs w:val="24"/>
        </w:rPr>
      </w:pPr>
      <w:r w:rsidRPr="003241BC">
        <w:rPr>
          <w:rFonts w:ascii="Arial" w:eastAsia="Calibri" w:hAnsi="Arial" w:cs="Arial"/>
          <w:i/>
          <w:iCs/>
          <w:sz w:val="24"/>
          <w:szCs w:val="24"/>
        </w:rPr>
        <w:t>Source : Données INSEE</w:t>
      </w:r>
    </w:p>
    <w:p w14:paraId="246A7814"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b/>
          <w:bCs/>
          <w:sz w:val="24"/>
          <w:szCs w:val="24"/>
        </w:rPr>
      </w:pPr>
    </w:p>
    <w:p w14:paraId="238D6D6F" w14:textId="7F90DC94"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b/>
          <w:bCs/>
          <w:sz w:val="24"/>
          <w:szCs w:val="24"/>
        </w:rPr>
      </w:pPr>
      <w:r w:rsidRPr="003241BC">
        <w:rPr>
          <w:rFonts w:ascii="Arial" w:eastAsia="Calibri" w:hAnsi="Arial" w:cs="Arial"/>
          <w:b/>
          <w:bCs/>
          <w:sz w:val="24"/>
          <w:szCs w:val="24"/>
          <w:u w:val="single"/>
        </w:rPr>
        <w:t>Annexe 2</w:t>
      </w:r>
      <w:r w:rsidR="0063434D">
        <w:rPr>
          <w:rFonts w:ascii="Arial" w:eastAsia="Calibri" w:hAnsi="Arial" w:cs="Arial"/>
          <w:b/>
          <w:bCs/>
          <w:sz w:val="24"/>
          <w:szCs w:val="24"/>
        </w:rPr>
        <w:t xml:space="preserve"> :</w:t>
      </w:r>
      <w:r w:rsidRPr="003241BC">
        <w:rPr>
          <w:rFonts w:ascii="Arial" w:eastAsia="Calibri" w:hAnsi="Arial" w:cs="Arial"/>
          <w:b/>
          <w:bCs/>
          <w:sz w:val="24"/>
          <w:szCs w:val="24"/>
        </w:rPr>
        <w:t xml:space="preserve"> Évolution du revenu disponible brut et des taux d’épargne et de consommation entre 2019 et 2020.</w:t>
      </w:r>
    </w:p>
    <w:tbl>
      <w:tblPr>
        <w:tblStyle w:val="Grilledutableau2"/>
        <w:tblW w:w="9032" w:type="dxa"/>
        <w:tblLook w:val="04A0" w:firstRow="1" w:lastRow="0" w:firstColumn="1" w:lastColumn="0" w:noHBand="0" w:noVBand="1"/>
      </w:tblPr>
      <w:tblGrid>
        <w:gridCol w:w="2258"/>
        <w:gridCol w:w="2258"/>
        <w:gridCol w:w="2258"/>
        <w:gridCol w:w="2258"/>
      </w:tblGrid>
      <w:tr w:rsidR="003241BC" w:rsidRPr="003241BC" w14:paraId="06279076" w14:textId="77777777" w:rsidTr="009740D0">
        <w:trPr>
          <w:trHeight w:val="1130"/>
        </w:trPr>
        <w:tc>
          <w:tcPr>
            <w:tcW w:w="2258" w:type="dxa"/>
            <w:noWrap/>
            <w:vAlign w:val="center"/>
          </w:tcPr>
          <w:p w14:paraId="03AC10D2" w14:textId="77777777" w:rsidR="003241BC" w:rsidRPr="003241BC" w:rsidRDefault="003241BC" w:rsidP="003241BC">
            <w:pPr>
              <w:jc w:val="center"/>
              <w:rPr>
                <w:rFonts w:ascii="Arial" w:eastAsia="Times New Roman" w:hAnsi="Arial" w:cs="Arial"/>
                <w:b/>
                <w:bCs/>
                <w:lang w:eastAsia="fr-FR"/>
              </w:rPr>
            </w:pPr>
            <w:r w:rsidRPr="003241BC">
              <w:rPr>
                <w:rFonts w:ascii="Arial" w:eastAsia="Times New Roman" w:hAnsi="Arial" w:cs="Arial"/>
                <w:b/>
                <w:bCs/>
                <w:lang w:eastAsia="fr-FR"/>
              </w:rPr>
              <w:t>Trimestre</w:t>
            </w:r>
          </w:p>
        </w:tc>
        <w:tc>
          <w:tcPr>
            <w:tcW w:w="2258" w:type="dxa"/>
            <w:vAlign w:val="center"/>
          </w:tcPr>
          <w:p w14:paraId="7B0E056D" w14:textId="77777777" w:rsidR="003241BC" w:rsidRPr="003241BC" w:rsidRDefault="003241BC" w:rsidP="003241BC">
            <w:pPr>
              <w:jc w:val="center"/>
              <w:rPr>
                <w:rFonts w:ascii="Arial" w:eastAsia="Times New Roman" w:hAnsi="Arial" w:cs="Arial"/>
                <w:b/>
                <w:bCs/>
                <w:lang w:eastAsia="fr-FR"/>
              </w:rPr>
            </w:pPr>
            <w:r w:rsidRPr="003241BC">
              <w:rPr>
                <w:rFonts w:ascii="Arial" w:eastAsia="Times New Roman" w:hAnsi="Arial" w:cs="Arial"/>
                <w:b/>
                <w:bCs/>
                <w:lang w:eastAsia="fr-FR"/>
              </w:rPr>
              <w:t>Évolution du revenu disponible brut</w:t>
            </w:r>
            <w:r w:rsidRPr="003241BC">
              <w:rPr>
                <w:rFonts w:ascii="Arial" w:eastAsia="Times New Roman" w:hAnsi="Arial" w:cs="Arial"/>
                <w:b/>
                <w:bCs/>
                <w:lang w:eastAsia="fr-FR"/>
              </w:rPr>
              <w:br/>
              <w:t>(RDB)</w:t>
            </w:r>
          </w:p>
        </w:tc>
        <w:tc>
          <w:tcPr>
            <w:tcW w:w="2258" w:type="dxa"/>
            <w:vAlign w:val="center"/>
          </w:tcPr>
          <w:p w14:paraId="63F32F31" w14:textId="77777777" w:rsidR="003241BC" w:rsidRPr="003241BC" w:rsidRDefault="003241BC" w:rsidP="003241BC">
            <w:pPr>
              <w:jc w:val="center"/>
              <w:rPr>
                <w:rFonts w:ascii="Arial" w:eastAsia="Times New Roman" w:hAnsi="Arial" w:cs="Arial"/>
                <w:b/>
                <w:bCs/>
                <w:lang w:eastAsia="fr-FR"/>
              </w:rPr>
            </w:pPr>
            <w:r w:rsidRPr="003241BC">
              <w:rPr>
                <w:rFonts w:ascii="Arial" w:eastAsia="Times New Roman" w:hAnsi="Arial" w:cs="Arial"/>
                <w:b/>
                <w:bCs/>
                <w:lang w:eastAsia="fr-FR"/>
              </w:rPr>
              <w:t>Taux d'épargne</w:t>
            </w:r>
          </w:p>
        </w:tc>
        <w:tc>
          <w:tcPr>
            <w:tcW w:w="2258" w:type="dxa"/>
            <w:vAlign w:val="center"/>
          </w:tcPr>
          <w:p w14:paraId="036649BD" w14:textId="77777777" w:rsidR="003241BC" w:rsidRPr="003241BC" w:rsidRDefault="003241BC" w:rsidP="003241BC">
            <w:pPr>
              <w:jc w:val="center"/>
              <w:rPr>
                <w:rFonts w:ascii="Arial" w:eastAsia="Times New Roman" w:hAnsi="Arial" w:cs="Arial"/>
                <w:b/>
                <w:bCs/>
                <w:lang w:eastAsia="fr-FR"/>
              </w:rPr>
            </w:pPr>
            <w:r w:rsidRPr="003241BC">
              <w:rPr>
                <w:rFonts w:ascii="Arial" w:eastAsia="Times New Roman" w:hAnsi="Arial" w:cs="Arial"/>
                <w:b/>
                <w:bCs/>
                <w:lang w:eastAsia="fr-FR"/>
              </w:rPr>
              <w:t>Taux de consommation</w:t>
            </w:r>
          </w:p>
        </w:tc>
      </w:tr>
      <w:tr w:rsidR="003241BC" w:rsidRPr="003241BC" w14:paraId="234EE6A3" w14:textId="77777777" w:rsidTr="009740D0">
        <w:trPr>
          <w:trHeight w:val="389"/>
        </w:trPr>
        <w:tc>
          <w:tcPr>
            <w:tcW w:w="2258" w:type="dxa"/>
            <w:noWrap/>
            <w:vAlign w:val="center"/>
          </w:tcPr>
          <w:p w14:paraId="36DDA635" w14:textId="77777777" w:rsidR="003241BC" w:rsidRPr="003241BC" w:rsidRDefault="003241BC" w:rsidP="003241BC">
            <w:pPr>
              <w:rPr>
                <w:rFonts w:ascii="Arial" w:eastAsia="Times New Roman" w:hAnsi="Arial" w:cs="Arial"/>
                <w:b/>
                <w:bCs/>
                <w:lang w:eastAsia="fr-FR"/>
              </w:rPr>
            </w:pPr>
            <w:r w:rsidRPr="003241BC">
              <w:rPr>
                <w:rFonts w:ascii="Arial" w:eastAsia="Times New Roman" w:hAnsi="Arial" w:cs="Arial"/>
                <w:b/>
                <w:bCs/>
                <w:lang w:eastAsia="fr-FR"/>
              </w:rPr>
              <w:t>2020-Trimestre 2</w:t>
            </w:r>
          </w:p>
        </w:tc>
        <w:tc>
          <w:tcPr>
            <w:tcW w:w="2258" w:type="dxa"/>
            <w:noWrap/>
            <w:vAlign w:val="center"/>
          </w:tcPr>
          <w:p w14:paraId="703E0097"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-2,3</w:t>
            </w:r>
          </w:p>
        </w:tc>
        <w:tc>
          <w:tcPr>
            <w:tcW w:w="2258" w:type="dxa"/>
            <w:noWrap/>
            <w:vAlign w:val="center"/>
          </w:tcPr>
          <w:p w14:paraId="15A989AF"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27,4%</w:t>
            </w:r>
          </w:p>
        </w:tc>
        <w:tc>
          <w:tcPr>
            <w:tcW w:w="2258" w:type="dxa"/>
            <w:vAlign w:val="center"/>
          </w:tcPr>
          <w:p w14:paraId="2413B68C"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72,6%</w:t>
            </w:r>
          </w:p>
        </w:tc>
      </w:tr>
      <w:tr w:rsidR="003241BC" w:rsidRPr="003241BC" w14:paraId="680804C8" w14:textId="77777777" w:rsidTr="009740D0">
        <w:trPr>
          <w:trHeight w:val="389"/>
        </w:trPr>
        <w:tc>
          <w:tcPr>
            <w:tcW w:w="2258" w:type="dxa"/>
            <w:noWrap/>
            <w:vAlign w:val="center"/>
          </w:tcPr>
          <w:p w14:paraId="24F2C386" w14:textId="77777777" w:rsidR="003241BC" w:rsidRPr="003241BC" w:rsidRDefault="003241BC" w:rsidP="003241BC">
            <w:pPr>
              <w:rPr>
                <w:rFonts w:ascii="Arial" w:eastAsia="Times New Roman" w:hAnsi="Arial" w:cs="Arial"/>
                <w:b/>
                <w:bCs/>
                <w:lang w:eastAsia="fr-FR"/>
              </w:rPr>
            </w:pPr>
            <w:r w:rsidRPr="003241BC">
              <w:rPr>
                <w:rFonts w:ascii="Arial" w:eastAsia="Times New Roman" w:hAnsi="Arial" w:cs="Arial"/>
                <w:b/>
                <w:bCs/>
                <w:lang w:eastAsia="fr-FR"/>
              </w:rPr>
              <w:t>2020-Trimestre 1</w:t>
            </w:r>
          </w:p>
        </w:tc>
        <w:tc>
          <w:tcPr>
            <w:tcW w:w="2258" w:type="dxa"/>
            <w:noWrap/>
            <w:vAlign w:val="center"/>
          </w:tcPr>
          <w:p w14:paraId="1043AA06"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-0,3</w:t>
            </w:r>
          </w:p>
        </w:tc>
        <w:tc>
          <w:tcPr>
            <w:tcW w:w="2258" w:type="dxa"/>
            <w:noWrap/>
            <w:vAlign w:val="center"/>
          </w:tcPr>
          <w:p w14:paraId="0EDE6074"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19,7%</w:t>
            </w:r>
          </w:p>
        </w:tc>
        <w:tc>
          <w:tcPr>
            <w:tcW w:w="2258" w:type="dxa"/>
            <w:vAlign w:val="center"/>
          </w:tcPr>
          <w:p w14:paraId="0427056E"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80,3%</w:t>
            </w:r>
          </w:p>
        </w:tc>
      </w:tr>
      <w:tr w:rsidR="003241BC" w:rsidRPr="003241BC" w14:paraId="30678515" w14:textId="77777777" w:rsidTr="009740D0">
        <w:trPr>
          <w:trHeight w:val="389"/>
        </w:trPr>
        <w:tc>
          <w:tcPr>
            <w:tcW w:w="2258" w:type="dxa"/>
            <w:noWrap/>
            <w:vAlign w:val="center"/>
          </w:tcPr>
          <w:p w14:paraId="16AC52DC" w14:textId="77777777" w:rsidR="003241BC" w:rsidRPr="003241BC" w:rsidRDefault="003241BC" w:rsidP="003241BC">
            <w:pPr>
              <w:rPr>
                <w:rFonts w:ascii="Arial" w:eastAsia="Times New Roman" w:hAnsi="Arial" w:cs="Arial"/>
                <w:b/>
                <w:bCs/>
                <w:lang w:eastAsia="fr-FR"/>
              </w:rPr>
            </w:pPr>
            <w:r w:rsidRPr="003241BC">
              <w:rPr>
                <w:rFonts w:ascii="Arial" w:eastAsia="Times New Roman" w:hAnsi="Arial" w:cs="Arial"/>
                <w:b/>
                <w:bCs/>
                <w:lang w:eastAsia="fr-FR"/>
              </w:rPr>
              <w:t>2019-Trimestre 4</w:t>
            </w:r>
          </w:p>
        </w:tc>
        <w:tc>
          <w:tcPr>
            <w:tcW w:w="2258" w:type="dxa"/>
            <w:noWrap/>
            <w:vAlign w:val="center"/>
          </w:tcPr>
          <w:p w14:paraId="6BF39278"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0,9</w:t>
            </w:r>
          </w:p>
        </w:tc>
        <w:tc>
          <w:tcPr>
            <w:tcW w:w="2258" w:type="dxa"/>
            <w:noWrap/>
            <w:vAlign w:val="center"/>
          </w:tcPr>
          <w:p w14:paraId="7A46E98B"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15,1%</w:t>
            </w:r>
          </w:p>
        </w:tc>
        <w:tc>
          <w:tcPr>
            <w:tcW w:w="2258" w:type="dxa"/>
            <w:vAlign w:val="center"/>
          </w:tcPr>
          <w:p w14:paraId="0D7A85B1"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84,9%</w:t>
            </w:r>
          </w:p>
        </w:tc>
      </w:tr>
      <w:tr w:rsidR="003241BC" w:rsidRPr="003241BC" w14:paraId="1307B659" w14:textId="77777777" w:rsidTr="009740D0">
        <w:trPr>
          <w:trHeight w:val="389"/>
        </w:trPr>
        <w:tc>
          <w:tcPr>
            <w:tcW w:w="2258" w:type="dxa"/>
            <w:noWrap/>
            <w:vAlign w:val="center"/>
          </w:tcPr>
          <w:p w14:paraId="0E694FCC" w14:textId="77777777" w:rsidR="003241BC" w:rsidRPr="003241BC" w:rsidRDefault="003241BC" w:rsidP="003241BC">
            <w:pPr>
              <w:rPr>
                <w:rFonts w:ascii="Arial" w:eastAsia="Times New Roman" w:hAnsi="Arial" w:cs="Arial"/>
                <w:b/>
                <w:bCs/>
                <w:lang w:eastAsia="fr-FR"/>
              </w:rPr>
            </w:pPr>
            <w:r w:rsidRPr="003241BC">
              <w:rPr>
                <w:rFonts w:ascii="Arial" w:eastAsia="Times New Roman" w:hAnsi="Arial" w:cs="Arial"/>
                <w:b/>
                <w:bCs/>
                <w:lang w:eastAsia="fr-FR"/>
              </w:rPr>
              <w:t>2019-Trimestre 3</w:t>
            </w:r>
          </w:p>
        </w:tc>
        <w:tc>
          <w:tcPr>
            <w:tcW w:w="2258" w:type="dxa"/>
            <w:noWrap/>
            <w:vAlign w:val="center"/>
          </w:tcPr>
          <w:p w14:paraId="7926FE6D"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0,8</w:t>
            </w:r>
          </w:p>
        </w:tc>
        <w:tc>
          <w:tcPr>
            <w:tcW w:w="2258" w:type="dxa"/>
            <w:noWrap/>
            <w:vAlign w:val="center"/>
          </w:tcPr>
          <w:p w14:paraId="67FB9A13"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14,8%</w:t>
            </w:r>
          </w:p>
        </w:tc>
        <w:tc>
          <w:tcPr>
            <w:tcW w:w="2258" w:type="dxa"/>
            <w:vAlign w:val="center"/>
          </w:tcPr>
          <w:p w14:paraId="3A52BC1F"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85,2%</w:t>
            </w:r>
          </w:p>
        </w:tc>
      </w:tr>
      <w:tr w:rsidR="003241BC" w:rsidRPr="003241BC" w14:paraId="03BFAEFF" w14:textId="77777777" w:rsidTr="009740D0">
        <w:trPr>
          <w:trHeight w:val="389"/>
        </w:trPr>
        <w:tc>
          <w:tcPr>
            <w:tcW w:w="2258" w:type="dxa"/>
            <w:noWrap/>
            <w:vAlign w:val="center"/>
          </w:tcPr>
          <w:p w14:paraId="29EB39F1" w14:textId="77777777" w:rsidR="003241BC" w:rsidRPr="003241BC" w:rsidRDefault="003241BC" w:rsidP="003241BC">
            <w:pPr>
              <w:rPr>
                <w:rFonts w:ascii="Arial" w:eastAsia="Times New Roman" w:hAnsi="Arial" w:cs="Arial"/>
                <w:b/>
                <w:bCs/>
                <w:lang w:eastAsia="fr-FR"/>
              </w:rPr>
            </w:pPr>
            <w:r w:rsidRPr="003241BC">
              <w:rPr>
                <w:rFonts w:ascii="Arial" w:eastAsia="Times New Roman" w:hAnsi="Arial" w:cs="Arial"/>
                <w:b/>
                <w:bCs/>
                <w:lang w:eastAsia="fr-FR"/>
              </w:rPr>
              <w:t>2019-Trimestre 2</w:t>
            </w:r>
          </w:p>
        </w:tc>
        <w:tc>
          <w:tcPr>
            <w:tcW w:w="2258" w:type="dxa"/>
            <w:noWrap/>
            <w:vAlign w:val="center"/>
          </w:tcPr>
          <w:p w14:paraId="401AA293"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0,2</w:t>
            </w:r>
          </w:p>
        </w:tc>
        <w:tc>
          <w:tcPr>
            <w:tcW w:w="2258" w:type="dxa"/>
            <w:noWrap/>
            <w:vAlign w:val="center"/>
          </w:tcPr>
          <w:p w14:paraId="58DBBAF1"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14,7%</w:t>
            </w:r>
          </w:p>
        </w:tc>
        <w:tc>
          <w:tcPr>
            <w:tcW w:w="2258" w:type="dxa"/>
            <w:vAlign w:val="center"/>
          </w:tcPr>
          <w:p w14:paraId="009F8BB7"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85,3%</w:t>
            </w:r>
          </w:p>
        </w:tc>
      </w:tr>
      <w:tr w:rsidR="003241BC" w:rsidRPr="003241BC" w14:paraId="3649B4E5" w14:textId="77777777" w:rsidTr="009740D0">
        <w:trPr>
          <w:trHeight w:val="389"/>
        </w:trPr>
        <w:tc>
          <w:tcPr>
            <w:tcW w:w="2258" w:type="dxa"/>
            <w:noWrap/>
            <w:vAlign w:val="center"/>
          </w:tcPr>
          <w:p w14:paraId="6BA91300" w14:textId="77777777" w:rsidR="003241BC" w:rsidRPr="003241BC" w:rsidRDefault="003241BC" w:rsidP="003241BC">
            <w:pPr>
              <w:rPr>
                <w:rFonts w:ascii="Arial" w:eastAsia="Times New Roman" w:hAnsi="Arial" w:cs="Arial"/>
                <w:b/>
                <w:bCs/>
                <w:lang w:eastAsia="fr-FR"/>
              </w:rPr>
            </w:pPr>
            <w:r w:rsidRPr="003241BC">
              <w:rPr>
                <w:rFonts w:ascii="Arial" w:eastAsia="Times New Roman" w:hAnsi="Arial" w:cs="Arial"/>
                <w:b/>
                <w:bCs/>
                <w:lang w:eastAsia="fr-FR"/>
              </w:rPr>
              <w:t>2019-Trimestre 1</w:t>
            </w:r>
          </w:p>
        </w:tc>
        <w:tc>
          <w:tcPr>
            <w:tcW w:w="2258" w:type="dxa"/>
            <w:noWrap/>
            <w:vAlign w:val="center"/>
          </w:tcPr>
          <w:p w14:paraId="504ACC56"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0,9</w:t>
            </w:r>
          </w:p>
        </w:tc>
        <w:tc>
          <w:tcPr>
            <w:tcW w:w="2258" w:type="dxa"/>
            <w:noWrap/>
            <w:vAlign w:val="center"/>
          </w:tcPr>
          <w:p w14:paraId="608DD808"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15,1%</w:t>
            </w:r>
          </w:p>
        </w:tc>
        <w:tc>
          <w:tcPr>
            <w:tcW w:w="2258" w:type="dxa"/>
            <w:vAlign w:val="center"/>
          </w:tcPr>
          <w:p w14:paraId="3CA58E1D" w14:textId="77777777" w:rsidR="003241BC" w:rsidRPr="003241BC" w:rsidRDefault="003241BC" w:rsidP="003241BC">
            <w:pPr>
              <w:ind w:right="724"/>
              <w:jc w:val="right"/>
              <w:rPr>
                <w:rFonts w:ascii="Arial" w:eastAsia="Times New Roman" w:hAnsi="Arial" w:cs="Arial"/>
                <w:lang w:eastAsia="fr-FR"/>
              </w:rPr>
            </w:pPr>
            <w:r w:rsidRPr="003241BC">
              <w:rPr>
                <w:rFonts w:ascii="Arial" w:eastAsia="Times New Roman" w:hAnsi="Arial" w:cs="Arial"/>
                <w:lang w:eastAsia="fr-FR"/>
              </w:rPr>
              <w:t>84,9%</w:t>
            </w:r>
          </w:p>
        </w:tc>
      </w:tr>
    </w:tbl>
    <w:p w14:paraId="44AD7E2C"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jc w:val="right"/>
        <w:rPr>
          <w:rFonts w:ascii="Arial" w:eastAsia="Calibri" w:hAnsi="Arial" w:cs="Arial"/>
          <w:i/>
          <w:iCs/>
          <w:sz w:val="24"/>
          <w:szCs w:val="24"/>
        </w:rPr>
      </w:pPr>
      <w:r w:rsidRPr="003241BC">
        <w:rPr>
          <w:rFonts w:ascii="Arial" w:eastAsia="Calibri" w:hAnsi="Arial" w:cs="Arial"/>
          <w:i/>
          <w:iCs/>
          <w:sz w:val="24"/>
          <w:szCs w:val="24"/>
        </w:rPr>
        <w:t>Source : Données INSEE</w:t>
      </w:r>
    </w:p>
    <w:p w14:paraId="4ECE34AD"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b/>
          <w:bCs/>
          <w:color w:val="212121"/>
          <w:sz w:val="24"/>
          <w:szCs w:val="24"/>
        </w:rPr>
      </w:pPr>
    </w:p>
    <w:p w14:paraId="57C7B0C1" w14:textId="3C1D6484"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bCs/>
          <w:color w:val="212121"/>
          <w:sz w:val="24"/>
          <w:szCs w:val="24"/>
        </w:rPr>
      </w:pPr>
      <w:r w:rsidRPr="003241BC">
        <w:rPr>
          <w:rFonts w:ascii="Arial" w:eastAsia="Calibri" w:hAnsi="Arial" w:cs="Arial"/>
          <w:b/>
          <w:bCs/>
          <w:color w:val="212121"/>
          <w:sz w:val="24"/>
          <w:szCs w:val="24"/>
          <w:u w:val="single"/>
        </w:rPr>
        <w:t>Annexe 3</w:t>
      </w:r>
      <w:r w:rsidR="0063434D">
        <w:rPr>
          <w:rFonts w:ascii="Arial" w:eastAsia="Calibri" w:hAnsi="Arial" w:cs="Arial"/>
          <w:b/>
          <w:bCs/>
          <w:color w:val="212121"/>
          <w:sz w:val="24"/>
          <w:szCs w:val="24"/>
        </w:rPr>
        <w:t xml:space="preserve"> :</w:t>
      </w:r>
      <w:r w:rsidRPr="003241BC">
        <w:rPr>
          <w:rFonts w:ascii="Arial" w:eastAsia="Calibri" w:hAnsi="Arial" w:cs="Arial"/>
          <w:b/>
          <w:bCs/>
          <w:color w:val="212121"/>
          <w:sz w:val="24"/>
          <w:szCs w:val="24"/>
        </w:rPr>
        <w:t xml:space="preserve"> Les entreprises françaises craignent de perdre leurs débouchés.</w:t>
      </w:r>
    </w:p>
    <w:p w14:paraId="22D4C923" w14:textId="6D987E84"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color w:val="212121"/>
          <w:sz w:val="24"/>
          <w:szCs w:val="24"/>
        </w:rPr>
      </w:pPr>
      <w:r w:rsidRPr="003241BC">
        <w:rPr>
          <w:rFonts w:ascii="Arial" w:eastAsia="Calibri" w:hAnsi="Arial" w:cs="Arial"/>
          <w:color w:val="212121"/>
          <w:sz w:val="24"/>
          <w:szCs w:val="24"/>
        </w:rPr>
        <w:t>Si l'on en croit la Banque de France, entre le 1</w:t>
      </w:r>
      <w:r w:rsidRPr="00A1304D">
        <w:rPr>
          <w:rFonts w:ascii="Arial" w:eastAsia="Calibri" w:hAnsi="Arial" w:cs="Arial"/>
          <w:color w:val="212121"/>
          <w:sz w:val="24"/>
          <w:szCs w:val="24"/>
          <w:vertAlign w:val="superscript"/>
        </w:rPr>
        <w:t>er</w:t>
      </w:r>
      <w:r w:rsidRPr="003241BC">
        <w:rPr>
          <w:rFonts w:ascii="Arial" w:eastAsia="Calibri" w:hAnsi="Arial" w:cs="Arial"/>
          <w:color w:val="212121"/>
          <w:sz w:val="24"/>
          <w:szCs w:val="24"/>
        </w:rPr>
        <w:t xml:space="preserve"> mars et le 31 juillet [2020], les ménages ont mis de côté 85 milliards d'euros. Avec un bémol : il s'agit d'un chiffre global qui ne dit rien sur le nombre de ménages qui ont vu leurs revenus disponibles baisser. Là, c'est le trou noir. Personne ne sait ni combien ni quels ménages ont souffert des conséquences économiques de la pandémie.</w:t>
      </w:r>
    </w:p>
    <w:p w14:paraId="58350234"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color w:val="212121"/>
          <w:sz w:val="24"/>
          <w:szCs w:val="24"/>
        </w:rPr>
      </w:pPr>
      <w:r w:rsidRPr="003241BC">
        <w:rPr>
          <w:rFonts w:ascii="Arial" w:eastAsia="Calibri" w:hAnsi="Arial" w:cs="Arial"/>
          <w:color w:val="212121"/>
          <w:sz w:val="24"/>
          <w:szCs w:val="24"/>
        </w:rPr>
        <w:t xml:space="preserve">Reste qu'avec l'aggravation à venir du chômage et alors que la confiance des ménages dans la situation économique reste inférieure à son niveau d'avant crise, l'Insee pointe </w:t>
      </w:r>
      <w:r w:rsidRPr="003241BC">
        <w:rPr>
          <w:rFonts w:ascii="Arial" w:eastAsia="Calibri" w:hAnsi="Arial" w:cs="Arial"/>
          <w:i/>
          <w:iCs/>
          <w:color w:val="212121"/>
          <w:sz w:val="24"/>
          <w:szCs w:val="24"/>
        </w:rPr>
        <w:t>« le risque d'un choc significatif [forte baisse] de demande [de biens et services]. Les entreprises sont nombreuses à craindre des pertes de débouchés »</w:t>
      </w:r>
      <w:r w:rsidRPr="003241BC">
        <w:rPr>
          <w:rFonts w:ascii="Arial" w:eastAsia="Calibri" w:hAnsi="Arial" w:cs="Arial"/>
          <w:color w:val="212121"/>
          <w:sz w:val="24"/>
          <w:szCs w:val="24"/>
        </w:rPr>
        <w:t>. […]</w:t>
      </w:r>
    </w:p>
    <w:p w14:paraId="04A27177"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color w:val="000000"/>
          <w:sz w:val="24"/>
          <w:szCs w:val="24"/>
        </w:rPr>
      </w:pPr>
      <w:r w:rsidRPr="003241BC">
        <w:rPr>
          <w:rFonts w:ascii="Arial" w:eastAsia="Calibri" w:hAnsi="Arial" w:cs="Arial"/>
          <w:color w:val="000000"/>
          <w:sz w:val="24"/>
          <w:szCs w:val="24"/>
        </w:rPr>
        <w:lastRenderedPageBreak/>
        <w:t>Selon une étude de trois économistes de la Banque de France, publiée en 2015, la chute de l'investissement des entreprises dans 22 pays, entre 1996 et 2014, s'explique à 80 % par le manque de demande anticipé et à 17 % par les incertitudes.</w:t>
      </w:r>
    </w:p>
    <w:p w14:paraId="66E79D46"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color w:val="212121"/>
          <w:sz w:val="24"/>
          <w:szCs w:val="24"/>
        </w:rPr>
      </w:pPr>
      <w:r w:rsidRPr="003241BC">
        <w:rPr>
          <w:rFonts w:ascii="Arial" w:eastAsia="Calibri" w:hAnsi="Arial" w:cs="Arial"/>
          <w:color w:val="000000"/>
          <w:sz w:val="24"/>
          <w:szCs w:val="24"/>
        </w:rPr>
        <w:t xml:space="preserve">D'autant que le contexte international risque de ne pas être très </w:t>
      </w:r>
      <w:r w:rsidRPr="003241BC">
        <w:rPr>
          <w:rFonts w:ascii="Arial" w:eastAsia="Calibri" w:hAnsi="Arial" w:cs="Arial"/>
          <w:color w:val="212121"/>
          <w:sz w:val="24"/>
          <w:szCs w:val="24"/>
        </w:rPr>
        <w:t xml:space="preserve">porteur pendant quelque temps, surtout pour un pays comme la France qui fait 15 % de toutes ses exportations de biens dans l'aéronautique, secteur particulièrement touché par la crise. Ainsi, au-delà de la dépense intérieure, </w:t>
      </w:r>
      <w:r w:rsidRPr="003241BC">
        <w:rPr>
          <w:rFonts w:ascii="Arial" w:eastAsia="Calibri" w:hAnsi="Arial" w:cs="Arial"/>
          <w:i/>
          <w:iCs/>
          <w:color w:val="212121"/>
          <w:sz w:val="24"/>
          <w:szCs w:val="24"/>
        </w:rPr>
        <w:t>« un autre poste de la demande [de biens et services] est à surveiller, il s'agit du commerce mondial qui reprend lentement, ce qui se voit dans les carnets de commandes à l'étranger des entreprises qui ont du mal à se remplir »</w:t>
      </w:r>
      <w:r w:rsidRPr="003241BC">
        <w:rPr>
          <w:rFonts w:ascii="Arial" w:eastAsia="Calibri" w:hAnsi="Arial" w:cs="Arial"/>
          <w:color w:val="212121"/>
          <w:sz w:val="24"/>
          <w:szCs w:val="24"/>
        </w:rPr>
        <w:t>, pointe Julien Pouget, chef du département de la conjoncture à l'Insee.</w:t>
      </w:r>
    </w:p>
    <w:p w14:paraId="5E89655D"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right"/>
        <w:rPr>
          <w:rFonts w:ascii="Arial" w:eastAsia="Calibri" w:hAnsi="Arial" w:cs="Arial"/>
          <w:i/>
          <w:iCs/>
          <w:color w:val="212121"/>
          <w:sz w:val="24"/>
          <w:szCs w:val="24"/>
        </w:rPr>
      </w:pPr>
      <w:r w:rsidRPr="003241BC">
        <w:rPr>
          <w:rFonts w:ascii="Arial" w:eastAsia="Calibri" w:hAnsi="Arial" w:cs="Arial"/>
          <w:i/>
          <w:iCs/>
          <w:color w:val="212121"/>
          <w:sz w:val="24"/>
          <w:szCs w:val="24"/>
        </w:rPr>
        <w:t>Source : Les Echos, 8 septembre 2020</w:t>
      </w:r>
    </w:p>
    <w:p w14:paraId="58027FF1"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bCs/>
          <w:sz w:val="24"/>
          <w:szCs w:val="24"/>
        </w:rPr>
      </w:pPr>
    </w:p>
    <w:p w14:paraId="72F3349D" w14:textId="046F0FF4"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b/>
          <w:bCs/>
          <w:sz w:val="24"/>
          <w:szCs w:val="24"/>
        </w:rPr>
      </w:pPr>
      <w:r w:rsidRPr="003241BC">
        <w:rPr>
          <w:rFonts w:ascii="Arial" w:eastAsia="Calibri" w:hAnsi="Arial" w:cs="Arial"/>
          <w:b/>
          <w:bCs/>
          <w:sz w:val="24"/>
          <w:szCs w:val="24"/>
          <w:u w:val="single"/>
        </w:rPr>
        <w:t>Annexe 4</w:t>
      </w:r>
      <w:r w:rsidR="0063434D">
        <w:rPr>
          <w:rFonts w:ascii="Arial" w:eastAsia="Calibri" w:hAnsi="Arial" w:cs="Arial"/>
          <w:b/>
          <w:bCs/>
          <w:sz w:val="24"/>
          <w:szCs w:val="24"/>
        </w:rPr>
        <w:t xml:space="preserve"> :</w:t>
      </w:r>
      <w:r w:rsidRPr="003241BC">
        <w:rPr>
          <w:rFonts w:ascii="Arial" w:eastAsia="Calibri" w:hAnsi="Arial" w:cs="Arial"/>
          <w:b/>
          <w:bCs/>
          <w:sz w:val="24"/>
          <w:szCs w:val="24"/>
        </w:rPr>
        <w:t xml:space="preserve"> Qu'est-ce qu'une politique budgétaire ?</w:t>
      </w:r>
    </w:p>
    <w:p w14:paraId="773652BC"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3241BC">
        <w:rPr>
          <w:rFonts w:ascii="Arial" w:eastAsia="Calibri" w:hAnsi="Arial" w:cs="Arial"/>
          <w:sz w:val="24"/>
          <w:szCs w:val="24"/>
        </w:rPr>
        <w:t>Lorsque la conjoncture économique se dégrade fortement ou en cas de crise, les pouvoirs publics peuvent décider d’intervenir directement et de mettre en œuvre des mesures spécifiques en termes de dépenses, d’impôts ou de transferts sociaux afin d’influer volontairement sur la conjoncture. […] L’État peut augmenter certaines dépenses publiques comme la rémunération des fonctionnaires, les aides aux entreprises, les dépenses d’investissement dans des infrastructures, etc. ou diminuer certaines recettes (réduction de l’impôt sur le revenu pour les ménages, remises d’impôts pour les entreprises, etc.). Le déficit budgétaire permet ainsi de stimuler l’activité économique à court terme en favorisant une augmentation de la demande des agents économiques qui disposent de davantage de ressources monétaires pour la consommation ou l’investissement.</w:t>
      </w:r>
      <w:r w:rsidR="00EE1EFD">
        <w:rPr>
          <w:rFonts w:ascii="Arial" w:eastAsia="Calibri" w:hAnsi="Arial" w:cs="Arial"/>
          <w:sz w:val="24"/>
          <w:szCs w:val="24"/>
        </w:rPr>
        <w:t xml:space="preserve"> </w:t>
      </w:r>
      <w:r w:rsidRPr="003241BC">
        <w:rPr>
          <w:rFonts w:ascii="Arial" w:eastAsia="Calibri" w:hAnsi="Arial" w:cs="Arial"/>
          <w:sz w:val="24"/>
          <w:szCs w:val="24"/>
        </w:rPr>
        <w:t xml:space="preserve">Dans un contexte d’ouverture croissante des économies, une politique de relance budgétaire risque de favoriser les entreprises étrangères au détriment des entreprises nationales. Le soutien de la demande se traduit alors par une augmentation des biens et services importés et un déséquilibre de la balance commerciale. […] </w:t>
      </w:r>
    </w:p>
    <w:p w14:paraId="7A10DF1E"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3241BC">
        <w:rPr>
          <w:rFonts w:ascii="Arial" w:eastAsia="Calibri" w:hAnsi="Arial" w:cs="Arial"/>
          <w:sz w:val="24"/>
          <w:szCs w:val="24"/>
        </w:rPr>
        <w:t>Une autre limite de la politique budgétaire qui est liée au financement du déficit budgétaire concerne l’augmentation de la dette publique. Une dette importante implique en effet le versement d’intérêts considérables. Cette dépense due à la charge des intérêts aggrave le déficit, ce qui conduit à un nouvel endettement public et peut entraîner une hausse des taux d’intérêt. C’est ce que l’on appelle le cercle vicieux de la dette. […]</w:t>
      </w:r>
    </w:p>
    <w:p w14:paraId="744C8698"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right"/>
        <w:rPr>
          <w:rFonts w:ascii="Arial" w:eastAsia="Calibri" w:hAnsi="Arial" w:cs="Arial"/>
          <w:i/>
          <w:iCs/>
          <w:sz w:val="24"/>
          <w:szCs w:val="24"/>
        </w:rPr>
      </w:pPr>
      <w:r w:rsidRPr="003241BC">
        <w:rPr>
          <w:rFonts w:ascii="Arial" w:eastAsia="Calibri" w:hAnsi="Arial" w:cs="Arial"/>
          <w:i/>
          <w:iCs/>
          <w:sz w:val="24"/>
          <w:szCs w:val="24"/>
        </w:rPr>
        <w:t>Source : Vie-publique.fr, septembre 2019</w:t>
      </w:r>
    </w:p>
    <w:p w14:paraId="36D4696F"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Arial" w:eastAsia="Calibri" w:hAnsi="Arial" w:cs="Arial"/>
          <w:b/>
          <w:bCs/>
          <w:sz w:val="24"/>
          <w:szCs w:val="24"/>
        </w:rPr>
      </w:pPr>
    </w:p>
    <w:p w14:paraId="0DDD96AD" w14:textId="70669B7C"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rPr>
          <w:rFonts w:ascii="Arial" w:eastAsia="Calibri" w:hAnsi="Arial" w:cs="Arial"/>
          <w:b/>
          <w:bCs/>
          <w:sz w:val="24"/>
          <w:szCs w:val="24"/>
        </w:rPr>
      </w:pPr>
      <w:r w:rsidRPr="003241BC">
        <w:rPr>
          <w:rFonts w:ascii="Arial" w:eastAsia="Calibri" w:hAnsi="Arial" w:cs="Arial"/>
          <w:b/>
          <w:bCs/>
          <w:sz w:val="24"/>
          <w:szCs w:val="24"/>
          <w:u w:val="single"/>
        </w:rPr>
        <w:t>Annexe 5</w:t>
      </w:r>
      <w:r w:rsidR="0063434D">
        <w:rPr>
          <w:rFonts w:ascii="Arial" w:eastAsia="Calibri" w:hAnsi="Arial" w:cs="Arial"/>
          <w:b/>
          <w:bCs/>
          <w:sz w:val="24"/>
          <w:szCs w:val="24"/>
        </w:rPr>
        <w:t xml:space="preserve"> :</w:t>
      </w:r>
      <w:r w:rsidRPr="003241BC">
        <w:rPr>
          <w:rFonts w:ascii="Arial" w:eastAsia="Calibri" w:hAnsi="Arial" w:cs="Arial"/>
          <w:b/>
          <w:bCs/>
          <w:sz w:val="24"/>
          <w:szCs w:val="24"/>
        </w:rPr>
        <w:t xml:space="preserve"> Lancement du Plan de relance de la France le 3 septembre 2020.</w:t>
      </w:r>
    </w:p>
    <w:p w14:paraId="08EA2C0A"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3241BC">
        <w:rPr>
          <w:rFonts w:ascii="Arial" w:eastAsia="Calibri" w:hAnsi="Arial" w:cs="Arial"/>
          <w:sz w:val="24"/>
          <w:szCs w:val="24"/>
        </w:rPr>
        <w:t>Le Plan de relance de 100 milliards d’euros (40 milliards d’euros du plan seront financés par l’Union européenne) s’articule autour de trois priorités : l’écologie, la compétitivité et la cohésion. […] Il s’inscrit dans la continuité des 470 milliards d’euros déjà mobilisés depuis mars 2020 pour financer les mesures d’urgence destinées aux entreprises et salariés impactés par la crise sanitaire du Coronavirus COVID-19.</w:t>
      </w:r>
    </w:p>
    <w:p w14:paraId="1AA83029"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3241BC">
        <w:rPr>
          <w:rFonts w:ascii="Arial" w:eastAsia="Calibri" w:hAnsi="Arial" w:cs="Arial"/>
          <w:sz w:val="24"/>
          <w:szCs w:val="24"/>
        </w:rPr>
        <w:t xml:space="preserve">L’écologie est au cœur du Plan de relance. Sur 100 milliards d’euros, 30 milliards d’euros sont destinés au financement de la transition écologique. L’objectif est d’accélérer la conversion écologique de l’économie française pour qu’elle soit plus </w:t>
      </w:r>
      <w:r w:rsidRPr="003241BC">
        <w:rPr>
          <w:rFonts w:ascii="Arial" w:eastAsia="Calibri" w:hAnsi="Arial" w:cs="Arial"/>
          <w:sz w:val="24"/>
          <w:szCs w:val="24"/>
        </w:rPr>
        <w:lastRenderedPageBreak/>
        <w:t>durable et plus économe de nos ressources naturelles et atteindre la neutralité carbone d’ici 2050. Cette orientation stratégique se concrétise dans le Plan de relance à travers : la rénovation thermique des bâtiments, l’aide à la décarbonation de l’industrie, le bonus écologique, la prime à la conversion pour l’achat d’un véhicule propre […].</w:t>
      </w:r>
    </w:p>
    <w:p w14:paraId="414C5509"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3241BC">
        <w:rPr>
          <w:rFonts w:ascii="Arial" w:eastAsia="Calibri" w:hAnsi="Arial" w:cs="Arial"/>
          <w:sz w:val="24"/>
          <w:szCs w:val="24"/>
        </w:rPr>
        <w:t>Pour favoriser le développement d’activités à forte valeur ajoutée en France et créer des emplois, le Plan de relance intègre aussi les transformations qui rendront notre économie plus compétitive. La relance est la clé de notre souveraineté économique et de notre indépendance technologique. Cela se traduit notamment par : la baisse des impôts de production, l’investissement massif dans les technologies d’avenir (technologies vertes), le renforcement du soutien à la recherche, la formation, […].</w:t>
      </w:r>
    </w:p>
    <w:p w14:paraId="28670054"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Calibri" w:hAnsi="Arial" w:cs="Arial"/>
          <w:sz w:val="24"/>
          <w:szCs w:val="24"/>
        </w:rPr>
      </w:pPr>
      <w:r w:rsidRPr="003241BC">
        <w:rPr>
          <w:rFonts w:ascii="Arial" w:eastAsia="Calibri" w:hAnsi="Arial" w:cs="Arial"/>
          <w:sz w:val="24"/>
          <w:szCs w:val="24"/>
        </w:rPr>
        <w:t>Pour éviter la hausse des inégalités en France en raison de l’impact économique de la crise, la relance doit aussi être une relance sociale et territoriale. Le Plan de relance porte ainsi un élan collectif à travers : l’accompagnement vers l’emploi des jeunes et des plus vulnérables, dont les personnes en situation de handicap, la sauvegarde de l’emploi (dispositifs d’activité partielle et de formation), le soutien aux personnes précaires (majoration de l’allocation de rentrée scolaire, hébergement d’urgence, plan de soutien aux associations de lutte contre la pauvreté) […].</w:t>
      </w:r>
    </w:p>
    <w:p w14:paraId="128469FD"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right"/>
        <w:rPr>
          <w:rFonts w:ascii="Arial" w:eastAsia="Calibri" w:hAnsi="Arial" w:cs="Arial"/>
          <w:i/>
          <w:iCs/>
          <w:sz w:val="24"/>
          <w:szCs w:val="24"/>
        </w:rPr>
      </w:pPr>
      <w:r w:rsidRPr="003241BC">
        <w:rPr>
          <w:rFonts w:ascii="Arial" w:eastAsia="Calibri" w:hAnsi="Arial" w:cs="Arial"/>
          <w:i/>
          <w:iCs/>
          <w:sz w:val="24"/>
          <w:szCs w:val="24"/>
        </w:rPr>
        <w:t>Source : Economie.gouv.fr</w:t>
      </w:r>
    </w:p>
    <w:p w14:paraId="7CE2CFB8" w14:textId="77777777" w:rsidR="00EE1EFD" w:rsidRDefault="00EE1EFD"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Times New Roman" w:hAnsi="Arial" w:cs="Arial"/>
          <w:b/>
          <w:bCs/>
          <w:sz w:val="24"/>
          <w:szCs w:val="24"/>
          <w:u w:val="single"/>
          <w:lang w:eastAsia="fr-FR"/>
        </w:rPr>
      </w:pPr>
    </w:p>
    <w:p w14:paraId="2447CA9E" w14:textId="21C8037D"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Times New Roman" w:hAnsi="Arial" w:cs="Arial"/>
          <w:b/>
          <w:bCs/>
          <w:sz w:val="24"/>
          <w:szCs w:val="24"/>
          <w:lang w:eastAsia="fr-FR"/>
        </w:rPr>
      </w:pPr>
      <w:r w:rsidRPr="003241BC">
        <w:rPr>
          <w:rFonts w:ascii="Arial" w:eastAsia="Times New Roman" w:hAnsi="Arial" w:cs="Arial"/>
          <w:b/>
          <w:bCs/>
          <w:sz w:val="24"/>
          <w:szCs w:val="24"/>
          <w:u w:val="single"/>
          <w:lang w:eastAsia="fr-FR"/>
        </w:rPr>
        <w:t>Annexe 6</w:t>
      </w:r>
      <w:r w:rsidR="0063434D">
        <w:rPr>
          <w:rFonts w:ascii="Arial" w:eastAsia="Times New Roman" w:hAnsi="Arial" w:cs="Arial"/>
          <w:b/>
          <w:bCs/>
          <w:sz w:val="24"/>
          <w:szCs w:val="24"/>
          <w:lang w:eastAsia="fr-FR"/>
        </w:rPr>
        <w:t xml:space="preserve"> :</w:t>
      </w:r>
      <w:r w:rsidRPr="003241BC">
        <w:rPr>
          <w:rFonts w:ascii="Arial" w:eastAsia="Times New Roman" w:hAnsi="Arial" w:cs="Arial"/>
          <w:b/>
          <w:bCs/>
          <w:sz w:val="24"/>
          <w:szCs w:val="24"/>
          <w:lang w:eastAsia="fr-FR"/>
        </w:rPr>
        <w:t xml:space="preserve"> Les politiques fiscale et budgétaire pour soutenir la reprise de l’activité économique.</w:t>
      </w:r>
    </w:p>
    <w:p w14:paraId="7134E424"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Times New Roman" w:hAnsi="Arial" w:cs="Arial"/>
          <w:sz w:val="24"/>
          <w:szCs w:val="24"/>
          <w:lang w:eastAsia="fr-FR"/>
        </w:rPr>
      </w:pPr>
      <w:r w:rsidRPr="003241BC">
        <w:rPr>
          <w:rFonts w:ascii="Arial" w:eastAsia="Times New Roman" w:hAnsi="Arial" w:cs="Arial"/>
          <w:sz w:val="24"/>
          <w:szCs w:val="24"/>
          <w:lang w:eastAsia="fr-FR"/>
        </w:rPr>
        <w:t>Les mesures de politique budgétaire jouent un rôle essentiel pour atténuer les difficultés induites par les règles de confinement, et devraient continuer de le faire alors que les pouvoirs publics s’efforcent d’aider les ménages et les entreprises, de protéger l’emploi et de préparer la reprise économique qui suivra la pandémie mondiale, selon un nouveau rapport de l’OCDE. […]</w:t>
      </w:r>
    </w:p>
    <w:p w14:paraId="152123A1"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Times New Roman" w:hAnsi="Arial" w:cs="Arial"/>
          <w:sz w:val="24"/>
          <w:szCs w:val="24"/>
          <w:lang w:eastAsia="fr-FR"/>
        </w:rPr>
      </w:pPr>
      <w:r w:rsidRPr="003241BC">
        <w:rPr>
          <w:rFonts w:ascii="Arial" w:eastAsia="Times New Roman" w:hAnsi="Arial" w:cs="Arial"/>
          <w:sz w:val="24"/>
          <w:szCs w:val="24"/>
          <w:lang w:eastAsia="fr-FR"/>
        </w:rPr>
        <w:t>En outre, les pouvoirs publics aident aussi les entreprises à conserver leurs salariés au moyen de mécanismes de chômage partiel ou de subventions salariales, et ont renforcé le soutien au revenu des ménages, facilité l’accès et assoupli les critères d’éligibilité aux indemnités de maladie, et parfois étendu la couverture des prestations de chômage aux travailleurs indépendants.</w:t>
      </w:r>
    </w:p>
    <w:p w14:paraId="3360965B" w14:textId="77777777" w:rsidR="003241BC" w:rsidRPr="003241BC" w:rsidRDefault="003241BC" w:rsidP="003241B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ascii="Arial" w:eastAsia="Times New Roman" w:hAnsi="Arial" w:cs="Arial"/>
          <w:sz w:val="24"/>
          <w:szCs w:val="24"/>
          <w:lang w:eastAsia="fr-FR"/>
        </w:rPr>
      </w:pPr>
      <w:r w:rsidRPr="003241BC">
        <w:rPr>
          <w:rFonts w:ascii="Arial" w:eastAsia="Times New Roman" w:hAnsi="Arial" w:cs="Arial"/>
          <w:sz w:val="24"/>
          <w:szCs w:val="24"/>
          <w:lang w:eastAsia="fr-FR"/>
        </w:rPr>
        <w:t>Le rapport indique qu’avec la levée progressive du confinement, une politique budgétaire expansionniste pourrait s’avérer nécessaire pendant une période prolongée afin de stimuler la consommation des ménages et l’investissement des entreprises dans les pays où la reprise est faible. Les mesures de relance pourraient renforcer la résilience face aux risques sanitaires et promouvoir la décarbonisation de l’économie, tandis que la coordination des politiques augmentera l’efficacité des mesures de relance.</w:t>
      </w:r>
    </w:p>
    <w:p w14:paraId="1B74E3BF" w14:textId="77777777" w:rsidR="00D45524" w:rsidRDefault="003241BC" w:rsidP="003241BC">
      <w:pPr>
        <w:jc w:val="right"/>
        <w:rPr>
          <w:rFonts w:ascii="Arial" w:hAnsi="Arial" w:cs="Arial"/>
          <w:b/>
          <w:bCs/>
          <w:sz w:val="28"/>
          <w:szCs w:val="28"/>
        </w:rPr>
      </w:pPr>
      <w:r w:rsidRPr="003241BC">
        <w:rPr>
          <w:rFonts w:ascii="Arial" w:eastAsia="Calibri" w:hAnsi="Arial" w:cs="Arial"/>
          <w:i/>
          <w:iCs/>
          <w:sz w:val="24"/>
          <w:szCs w:val="24"/>
        </w:rPr>
        <w:t>Source : OCDE, avril 2020</w:t>
      </w:r>
    </w:p>
    <w:sectPr w:rsidR="00D4552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3F98B" w14:textId="77777777" w:rsidR="00421860" w:rsidRDefault="00421860" w:rsidP="00D45524">
      <w:pPr>
        <w:spacing w:after="0" w:line="240" w:lineRule="auto"/>
      </w:pPr>
      <w:r>
        <w:separator/>
      </w:r>
    </w:p>
  </w:endnote>
  <w:endnote w:type="continuationSeparator" w:id="0">
    <w:p w14:paraId="3575AA1B" w14:textId="77777777" w:rsidR="00421860" w:rsidRDefault="00421860" w:rsidP="00D4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imes New Roman" w:hAnsi="Arial" w:cs="Arial"/>
        <w:sz w:val="24"/>
        <w:szCs w:val="24"/>
        <w:lang w:val="en-GB"/>
      </w:rPr>
      <w:id w:val="-100881151"/>
      <w:docPartObj>
        <w:docPartGallery w:val="Page Numbers (Bottom of Page)"/>
        <w:docPartUnique/>
      </w:docPartObj>
    </w:sdtPr>
    <w:sdtEndPr/>
    <w:sdtContent>
      <w:sdt>
        <w:sdtPr>
          <w:rPr>
            <w:rFonts w:ascii="Arial" w:eastAsia="Times New Roman" w:hAnsi="Arial" w:cs="Arial"/>
            <w:sz w:val="24"/>
            <w:szCs w:val="24"/>
            <w:lang w:val="en-GB"/>
          </w:rPr>
          <w:id w:val="-1769616900"/>
          <w:docPartObj>
            <w:docPartGallery w:val="Page Numbers (Top of Page)"/>
            <w:docPartUnique/>
          </w:docPartObj>
        </w:sdtPr>
        <w:sdtEndPr>
          <w:rPr>
            <w:b/>
          </w:rPr>
        </w:sdtEndPr>
        <w:sdtContent>
          <w:p w14:paraId="70AE7581" w14:textId="77777777" w:rsidR="00C6289D" w:rsidRPr="00C6289D" w:rsidRDefault="00EE3257" w:rsidP="00C6289D">
            <w:pPr>
              <w:tabs>
                <w:tab w:val="left" w:pos="3152"/>
                <w:tab w:val="center" w:pos="4536"/>
                <w:tab w:val="right" w:pos="9072"/>
              </w:tabs>
              <w:spacing w:after="0" w:line="240" w:lineRule="auto"/>
              <w:rPr>
                <w:rFonts w:ascii="Arial" w:eastAsia="Times New Roman" w:hAnsi="Arial" w:cs="Arial"/>
                <w:sz w:val="24"/>
                <w:szCs w:val="24"/>
                <w:lang w:val="en-GB"/>
              </w:rPr>
            </w:pPr>
            <w:r w:rsidRPr="00C6289D">
              <w:rPr>
                <w:rFonts w:ascii="Arial" w:eastAsia="Times New Roman" w:hAnsi="Arial" w:cs="Arial"/>
                <w:b/>
                <w:bCs/>
                <w:sz w:val="24"/>
                <w:szCs w:val="24"/>
                <w:lang w:val="en-GB"/>
              </w:rPr>
              <w:t>21-MGD</w:t>
            </w:r>
            <w:r w:rsidR="00D45524">
              <w:rPr>
                <w:rFonts w:ascii="Arial" w:eastAsia="Times New Roman" w:hAnsi="Arial" w:cs="Arial"/>
                <w:b/>
                <w:bCs/>
                <w:sz w:val="24"/>
                <w:szCs w:val="24"/>
                <w:lang w:val="en-GB"/>
              </w:rPr>
              <w:t>EME3</w:t>
            </w:r>
            <w:r w:rsidRPr="00C6289D">
              <w:rPr>
                <w:rFonts w:ascii="Arial" w:eastAsia="Times New Roman" w:hAnsi="Arial" w:cs="Arial"/>
                <w:sz w:val="24"/>
                <w:szCs w:val="24"/>
                <w:lang w:val="en-GB"/>
              </w:rPr>
              <w:tab/>
            </w:r>
            <w:r w:rsidRPr="00C6289D">
              <w:rPr>
                <w:rFonts w:ascii="Arial" w:eastAsia="Times New Roman" w:hAnsi="Arial" w:cs="Arial"/>
                <w:sz w:val="24"/>
                <w:szCs w:val="24"/>
                <w:lang w:val="en-GB"/>
              </w:rPr>
              <w:tab/>
              <w:t xml:space="preserve">     </w:t>
            </w:r>
            <w:r w:rsidRPr="00C6289D">
              <w:rPr>
                <w:rFonts w:ascii="Arial" w:eastAsia="Times New Roman" w:hAnsi="Arial" w:cs="Arial"/>
                <w:sz w:val="24"/>
                <w:szCs w:val="24"/>
                <w:lang w:val="en-GB"/>
              </w:rPr>
              <w:tab/>
            </w:r>
            <w:r w:rsidRPr="00C6289D">
              <w:rPr>
                <w:rFonts w:ascii="Arial" w:eastAsia="Times New Roman" w:hAnsi="Arial" w:cs="Arial"/>
                <w:sz w:val="24"/>
                <w:szCs w:val="24"/>
                <w:lang w:val="en-GB"/>
              </w:rPr>
              <w:fldChar w:fldCharType="begin"/>
            </w:r>
            <w:r w:rsidRPr="00C6289D">
              <w:rPr>
                <w:rFonts w:ascii="Arial" w:eastAsia="Times New Roman" w:hAnsi="Arial" w:cs="Arial"/>
                <w:sz w:val="24"/>
                <w:szCs w:val="24"/>
                <w:lang w:val="en-GB"/>
              </w:rPr>
              <w:instrText>PAGE</w:instrText>
            </w:r>
            <w:r w:rsidRPr="00C6289D">
              <w:rPr>
                <w:rFonts w:ascii="Arial" w:eastAsia="Times New Roman" w:hAnsi="Arial" w:cs="Arial"/>
                <w:sz w:val="24"/>
                <w:szCs w:val="24"/>
                <w:lang w:val="en-GB"/>
              </w:rPr>
              <w:fldChar w:fldCharType="separate"/>
            </w:r>
            <w:r w:rsidR="009E7303">
              <w:rPr>
                <w:rFonts w:ascii="Arial" w:eastAsia="Times New Roman" w:hAnsi="Arial" w:cs="Arial"/>
                <w:noProof/>
                <w:sz w:val="24"/>
                <w:szCs w:val="24"/>
                <w:lang w:val="en-GB"/>
              </w:rPr>
              <w:t>2</w:t>
            </w:r>
            <w:r w:rsidRPr="00C6289D">
              <w:rPr>
                <w:rFonts w:ascii="Arial" w:eastAsia="Times New Roman" w:hAnsi="Arial" w:cs="Arial"/>
                <w:sz w:val="24"/>
                <w:szCs w:val="24"/>
                <w:lang w:val="en-GB"/>
              </w:rPr>
              <w:fldChar w:fldCharType="end"/>
            </w:r>
            <w:r w:rsidRPr="00C6289D">
              <w:rPr>
                <w:rFonts w:ascii="Arial" w:eastAsia="Times New Roman" w:hAnsi="Arial" w:cs="Arial"/>
                <w:sz w:val="24"/>
                <w:szCs w:val="24"/>
                <w:lang w:val="en-GB"/>
              </w:rPr>
              <w:t>/</w:t>
            </w:r>
            <w:r w:rsidRPr="00C6289D">
              <w:rPr>
                <w:rFonts w:ascii="Arial" w:eastAsia="Times New Roman" w:hAnsi="Arial" w:cs="Arial"/>
                <w:sz w:val="24"/>
                <w:szCs w:val="24"/>
                <w:lang w:val="en-GB"/>
              </w:rPr>
              <w:fldChar w:fldCharType="begin"/>
            </w:r>
            <w:r w:rsidRPr="00C6289D">
              <w:rPr>
                <w:rFonts w:ascii="Arial" w:eastAsia="Times New Roman" w:hAnsi="Arial" w:cs="Arial"/>
                <w:sz w:val="24"/>
                <w:szCs w:val="24"/>
                <w:lang w:val="en-GB"/>
              </w:rPr>
              <w:instrText xml:space="preserve"> NUMPAGES   \* MERGEFORMAT </w:instrText>
            </w:r>
            <w:r w:rsidRPr="00C6289D">
              <w:rPr>
                <w:rFonts w:ascii="Arial" w:eastAsia="Times New Roman" w:hAnsi="Arial" w:cs="Arial"/>
                <w:sz w:val="24"/>
                <w:szCs w:val="24"/>
                <w:lang w:val="en-GB"/>
              </w:rPr>
              <w:fldChar w:fldCharType="separate"/>
            </w:r>
            <w:r w:rsidR="009E7303">
              <w:rPr>
                <w:rFonts w:ascii="Arial" w:eastAsia="Times New Roman" w:hAnsi="Arial" w:cs="Arial"/>
                <w:noProof/>
                <w:sz w:val="24"/>
                <w:szCs w:val="24"/>
                <w:lang w:val="en-GB"/>
              </w:rPr>
              <w:t>17</w:t>
            </w:r>
            <w:r w:rsidRPr="00C6289D">
              <w:rPr>
                <w:rFonts w:ascii="Arial" w:eastAsia="Times New Roman" w:hAnsi="Arial" w:cs="Arial"/>
                <w:noProof/>
                <w:sz w:val="24"/>
                <w:szCs w:val="24"/>
                <w:lang w:val="en-G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D566" w14:textId="77777777" w:rsidR="00421860" w:rsidRDefault="00421860" w:rsidP="00D45524">
      <w:pPr>
        <w:spacing w:after="0" w:line="240" w:lineRule="auto"/>
      </w:pPr>
      <w:r>
        <w:separator/>
      </w:r>
    </w:p>
  </w:footnote>
  <w:footnote w:type="continuationSeparator" w:id="0">
    <w:p w14:paraId="17DE63E1" w14:textId="77777777" w:rsidR="00421860" w:rsidRDefault="00421860" w:rsidP="00D45524">
      <w:pPr>
        <w:spacing w:after="0" w:line="240" w:lineRule="auto"/>
      </w:pPr>
      <w:r>
        <w:continuationSeparator/>
      </w:r>
    </w:p>
  </w:footnote>
  <w:footnote w:id="1">
    <w:p w14:paraId="46212281" w14:textId="41C00A64" w:rsidR="00A1304D" w:rsidRPr="00A1304D" w:rsidRDefault="00A1304D" w:rsidP="00A1304D">
      <w:pPr>
        <w:spacing w:before="120" w:after="120" w:line="240" w:lineRule="auto"/>
        <w:jc w:val="both"/>
        <w:rPr>
          <w:rFonts w:ascii="Arial" w:hAnsi="Arial" w:cs="Arial"/>
        </w:rPr>
      </w:pPr>
      <w:r w:rsidRPr="00A1304D">
        <w:rPr>
          <w:rStyle w:val="Appelnotedebasdep"/>
          <w:rFonts w:ascii="Arial" w:hAnsi="Arial" w:cs="Arial"/>
        </w:rPr>
        <w:footnoteRef/>
      </w:r>
      <w:r w:rsidRPr="00A1304D">
        <w:rPr>
          <w:rFonts w:ascii="Arial" w:hAnsi="Arial" w:cs="Arial"/>
        </w:rPr>
        <w:t xml:space="preserve"> OCDE : organisation regroupant 37 pays pour la plupart développés.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6774"/>
    <w:multiLevelType w:val="hybridMultilevel"/>
    <w:tmpl w:val="1E00299C"/>
    <w:lvl w:ilvl="0" w:tplc="931286B4">
      <w:start w:val="1"/>
      <w:numFmt w:val="decimal"/>
      <w:lvlText w:val="%1."/>
      <w:lvlJc w:val="left"/>
      <w:pPr>
        <w:ind w:left="1065" w:hanging="705"/>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EE4095D"/>
    <w:multiLevelType w:val="hybridMultilevel"/>
    <w:tmpl w:val="99E6A82A"/>
    <w:lvl w:ilvl="0" w:tplc="CE5E88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ED510B"/>
    <w:multiLevelType w:val="hybridMultilevel"/>
    <w:tmpl w:val="182243FC"/>
    <w:lvl w:ilvl="0" w:tplc="80C6AC24">
      <w:start w:val="1"/>
      <w:numFmt w:val="decimal"/>
      <w:lvlText w:val="%1."/>
      <w:lvlJc w:val="left"/>
      <w:pPr>
        <w:ind w:left="720" w:hanging="360"/>
      </w:pPr>
      <w:rPr>
        <w:b/>
      </w:rPr>
    </w:lvl>
    <w:lvl w:ilvl="1" w:tplc="D14CC5A4">
      <w:start w:val="1"/>
      <w:numFmt w:val="lowerLetter"/>
      <w:lvlText w:val="%2."/>
      <w:lvlJc w:val="left"/>
      <w:pPr>
        <w:ind w:left="1440" w:hanging="360"/>
      </w:pPr>
    </w:lvl>
    <w:lvl w:ilvl="2" w:tplc="990E2C7C">
      <w:start w:val="1"/>
      <w:numFmt w:val="lowerRoman"/>
      <w:lvlText w:val="%3."/>
      <w:lvlJc w:val="right"/>
      <w:pPr>
        <w:ind w:left="2160" w:hanging="180"/>
      </w:pPr>
    </w:lvl>
    <w:lvl w:ilvl="3" w:tplc="E50EC966">
      <w:start w:val="1"/>
      <w:numFmt w:val="decimal"/>
      <w:lvlText w:val="%4."/>
      <w:lvlJc w:val="left"/>
      <w:pPr>
        <w:ind w:left="2880" w:hanging="360"/>
      </w:pPr>
    </w:lvl>
    <w:lvl w:ilvl="4" w:tplc="EC2A917A">
      <w:start w:val="1"/>
      <w:numFmt w:val="lowerLetter"/>
      <w:lvlText w:val="%5."/>
      <w:lvlJc w:val="left"/>
      <w:pPr>
        <w:ind w:left="3600" w:hanging="360"/>
      </w:pPr>
    </w:lvl>
    <w:lvl w:ilvl="5" w:tplc="A1F0E62E">
      <w:start w:val="1"/>
      <w:numFmt w:val="lowerRoman"/>
      <w:lvlText w:val="%6."/>
      <w:lvlJc w:val="right"/>
      <w:pPr>
        <w:ind w:left="4320" w:hanging="180"/>
      </w:pPr>
    </w:lvl>
    <w:lvl w:ilvl="6" w:tplc="157CAA86">
      <w:start w:val="1"/>
      <w:numFmt w:val="decimal"/>
      <w:lvlText w:val="%7."/>
      <w:lvlJc w:val="left"/>
      <w:pPr>
        <w:ind w:left="5040" w:hanging="360"/>
      </w:pPr>
    </w:lvl>
    <w:lvl w:ilvl="7" w:tplc="4F26C30A">
      <w:start w:val="1"/>
      <w:numFmt w:val="lowerLetter"/>
      <w:lvlText w:val="%8."/>
      <w:lvlJc w:val="left"/>
      <w:pPr>
        <w:ind w:left="5760" w:hanging="360"/>
      </w:pPr>
    </w:lvl>
    <w:lvl w:ilvl="8" w:tplc="135ACB66">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24"/>
    <w:rsid w:val="00182934"/>
    <w:rsid w:val="002C215E"/>
    <w:rsid w:val="003241BC"/>
    <w:rsid w:val="00421860"/>
    <w:rsid w:val="004D636A"/>
    <w:rsid w:val="004E3AEA"/>
    <w:rsid w:val="0063434D"/>
    <w:rsid w:val="00671F48"/>
    <w:rsid w:val="0068695D"/>
    <w:rsid w:val="009E7303"/>
    <w:rsid w:val="00A1304D"/>
    <w:rsid w:val="00AF087D"/>
    <w:rsid w:val="00CD0326"/>
    <w:rsid w:val="00D45524"/>
    <w:rsid w:val="00DA6177"/>
    <w:rsid w:val="00EE1EFD"/>
    <w:rsid w:val="00EE3257"/>
    <w:rsid w:val="00FA2889"/>
    <w:rsid w:val="00FB5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FA09"/>
  <w15:chartTrackingRefBased/>
  <w15:docId w15:val="{F83385AE-054A-4DBF-B4A9-0F5A76A9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5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unhideWhenUsed/>
    <w:rsid w:val="00D45524"/>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455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524"/>
  </w:style>
  <w:style w:type="paragraph" w:styleId="En-tte">
    <w:name w:val="header"/>
    <w:basedOn w:val="Normal"/>
    <w:link w:val="En-tteCar"/>
    <w:uiPriority w:val="99"/>
    <w:unhideWhenUsed/>
    <w:rsid w:val="00D45524"/>
    <w:pPr>
      <w:tabs>
        <w:tab w:val="center" w:pos="4536"/>
        <w:tab w:val="right" w:pos="9072"/>
      </w:tabs>
      <w:spacing w:after="0" w:line="240" w:lineRule="auto"/>
    </w:pPr>
  </w:style>
  <w:style w:type="character" w:customStyle="1" w:styleId="En-tteCar">
    <w:name w:val="En-tête Car"/>
    <w:basedOn w:val="Policepardfaut"/>
    <w:link w:val="En-tte"/>
    <w:uiPriority w:val="99"/>
    <w:rsid w:val="00D45524"/>
  </w:style>
  <w:style w:type="paragraph" w:styleId="Paragraphedeliste">
    <w:name w:val="List Paragraph"/>
    <w:basedOn w:val="Normal"/>
    <w:uiPriority w:val="34"/>
    <w:qFormat/>
    <w:rsid w:val="003241BC"/>
    <w:pPr>
      <w:ind w:left="720"/>
      <w:contextualSpacing/>
    </w:pPr>
  </w:style>
  <w:style w:type="table" w:customStyle="1" w:styleId="Grilledutableau1">
    <w:name w:val="Grille du tableau1"/>
    <w:basedOn w:val="TableauNormal"/>
    <w:next w:val="Grilledutableau"/>
    <w:uiPriority w:val="39"/>
    <w:rsid w:val="0032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3241B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sid w:val="00A130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304D"/>
    <w:rPr>
      <w:sz w:val="20"/>
      <w:szCs w:val="20"/>
    </w:rPr>
  </w:style>
  <w:style w:type="character" w:styleId="Appelnotedebasdep">
    <w:name w:val="footnote reference"/>
    <w:basedOn w:val="Policepardfaut"/>
    <w:uiPriority w:val="99"/>
    <w:semiHidden/>
    <w:unhideWhenUsed/>
    <w:rsid w:val="00A13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19071126" TargetMode="External"/><Relationship Id="rId13" Type="http://schemas.openxmlformats.org/officeDocument/2006/relationships/hyperlink" Target="https://www.legifrance.gouv.fr/codes/article_lc/LEGIARTI0000190711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codes/article_lc/LEGIARTI0000367620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06901002"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legifrance.gouv.fr/codes/article_lc/LEGIARTI000006901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codes/article_lc/LEGIARTI000006901000" TargetMode="External"/><Relationship Id="rId14" Type="http://schemas.openxmlformats.org/officeDocument/2006/relationships/hyperlink" Target="https://www.elegia.fr/formations/plan-de-formation-plan-de-developpement-competences-optimiser-sa-gestion-operationnelle_6000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428FE-74BF-4097-9DF6-933A89B5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5463</Words>
  <Characters>30049</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Ratsirarisoa Noro-Joynitah</dc:creator>
  <cp:keywords/>
  <dc:description/>
  <cp:lastModifiedBy>Noro Joynitah RATSIRARISOA</cp:lastModifiedBy>
  <cp:revision>14</cp:revision>
  <cp:lastPrinted>2021-06-29T07:56:00Z</cp:lastPrinted>
  <dcterms:created xsi:type="dcterms:W3CDTF">2020-12-15T12:19:00Z</dcterms:created>
  <dcterms:modified xsi:type="dcterms:W3CDTF">2021-06-29T07:57:00Z</dcterms:modified>
</cp:coreProperties>
</file>