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57"/>
      </w:tblGrid>
      <w:tr w:rsidR="008A26FC" w:rsidRPr="0019334B">
        <w:trPr>
          <w:cantSplit/>
          <w:trHeight w:val="552"/>
          <w:jc w:val="center"/>
        </w:trPr>
        <w:tc>
          <w:tcPr>
            <w:tcW w:w="5040" w:type="dxa"/>
            <w:vMerge w:val="restart"/>
          </w:tcPr>
          <w:p w:rsidR="008A26FC" w:rsidRPr="0019334B" w:rsidRDefault="008A26FC" w:rsidP="00453EE1">
            <w:pPr>
              <w:rPr>
                <w:sz w:val="21"/>
                <w:szCs w:val="21"/>
              </w:rPr>
            </w:pPr>
            <w:r w:rsidRPr="0019334B">
              <w:rPr>
                <w:b/>
                <w:sz w:val="21"/>
                <w:szCs w:val="21"/>
              </w:rPr>
              <w:t>Auteur </w:t>
            </w:r>
            <w:r w:rsidRPr="0019334B">
              <w:rPr>
                <w:sz w:val="21"/>
                <w:szCs w:val="21"/>
              </w:rPr>
              <w:t xml:space="preserve">: </w:t>
            </w:r>
            <w:r w:rsidR="0077266C" w:rsidRPr="0019334B">
              <w:rPr>
                <w:sz w:val="21"/>
                <w:szCs w:val="21"/>
              </w:rPr>
              <w:t>Mustapha Daoudi</w:t>
            </w:r>
          </w:p>
          <w:p w:rsidR="008A26FC" w:rsidRPr="0019334B" w:rsidRDefault="008A26FC" w:rsidP="00453EE1">
            <w:pPr>
              <w:rPr>
                <w:sz w:val="21"/>
                <w:szCs w:val="21"/>
              </w:rPr>
            </w:pPr>
            <w:r w:rsidRPr="0019334B">
              <w:rPr>
                <w:b/>
                <w:sz w:val="21"/>
                <w:szCs w:val="21"/>
              </w:rPr>
              <w:t>Etablissement </w:t>
            </w:r>
            <w:r w:rsidRPr="0019334B">
              <w:rPr>
                <w:sz w:val="21"/>
                <w:szCs w:val="21"/>
              </w:rPr>
              <w:t xml:space="preserve">: </w:t>
            </w:r>
            <w:r w:rsidR="0077266C" w:rsidRPr="0019334B">
              <w:rPr>
                <w:sz w:val="21"/>
                <w:szCs w:val="21"/>
              </w:rPr>
              <w:t>Lycée Jacques Brel (La Courneuve)</w:t>
            </w:r>
          </w:p>
          <w:p w:rsidR="008A26FC" w:rsidRPr="0019334B" w:rsidRDefault="008A26FC" w:rsidP="00453EE1">
            <w:pPr>
              <w:rPr>
                <w:sz w:val="21"/>
                <w:szCs w:val="21"/>
              </w:rPr>
            </w:pPr>
            <w:r w:rsidRPr="0019334B">
              <w:rPr>
                <w:b/>
                <w:sz w:val="21"/>
                <w:szCs w:val="21"/>
              </w:rPr>
              <w:t>Académie</w:t>
            </w:r>
            <w:r w:rsidRPr="0019334B">
              <w:rPr>
                <w:sz w:val="21"/>
                <w:szCs w:val="21"/>
              </w:rPr>
              <w:t xml:space="preserve"> : </w:t>
            </w:r>
            <w:r w:rsidR="0077266C" w:rsidRPr="0019334B">
              <w:rPr>
                <w:sz w:val="21"/>
                <w:szCs w:val="21"/>
              </w:rPr>
              <w:t>Créteil</w:t>
            </w:r>
          </w:p>
          <w:p w:rsidR="008A26FC" w:rsidRPr="0019334B" w:rsidRDefault="008A26FC" w:rsidP="00453EE1">
            <w:pPr>
              <w:rPr>
                <w:sz w:val="21"/>
                <w:szCs w:val="21"/>
              </w:rPr>
            </w:pPr>
            <w:r w:rsidRPr="0019334B">
              <w:rPr>
                <w:b/>
                <w:sz w:val="21"/>
                <w:szCs w:val="21"/>
              </w:rPr>
              <w:t>Relecture</w:t>
            </w:r>
            <w:r w:rsidRPr="0019334B">
              <w:rPr>
                <w:sz w:val="21"/>
                <w:szCs w:val="21"/>
              </w:rPr>
              <w:t xml:space="preserve"> : </w:t>
            </w:r>
            <w:r w:rsidR="00EE2D99" w:rsidRPr="0019334B">
              <w:rPr>
                <w:sz w:val="21"/>
                <w:szCs w:val="21"/>
              </w:rPr>
              <w:t xml:space="preserve">Jean-Bernard </w:t>
            </w:r>
            <w:proofErr w:type="spellStart"/>
            <w:r w:rsidR="00EE2D99" w:rsidRPr="0019334B">
              <w:rPr>
                <w:sz w:val="21"/>
                <w:szCs w:val="21"/>
              </w:rPr>
              <w:t>Ducrou</w:t>
            </w:r>
            <w:proofErr w:type="spellEnd"/>
          </w:p>
        </w:tc>
        <w:tc>
          <w:tcPr>
            <w:tcW w:w="4857" w:type="dxa"/>
          </w:tcPr>
          <w:p w:rsidR="008A26FC" w:rsidRPr="0019334B" w:rsidRDefault="008A26FC" w:rsidP="00EE2D99">
            <w:pPr>
              <w:rPr>
                <w:sz w:val="21"/>
                <w:szCs w:val="21"/>
              </w:rPr>
            </w:pPr>
            <w:r w:rsidRPr="0019334B">
              <w:rPr>
                <w:b/>
                <w:sz w:val="21"/>
                <w:szCs w:val="21"/>
              </w:rPr>
              <w:t>Mots-clés</w:t>
            </w:r>
            <w:r w:rsidRPr="0019334B">
              <w:rPr>
                <w:sz w:val="21"/>
                <w:szCs w:val="21"/>
              </w:rPr>
              <w:t xml:space="preserve"> : </w:t>
            </w:r>
            <w:r w:rsidR="00EE2D99" w:rsidRPr="0019334B">
              <w:rPr>
                <w:sz w:val="21"/>
                <w:szCs w:val="21"/>
              </w:rPr>
              <w:t xml:space="preserve">marge de </w:t>
            </w:r>
            <w:r w:rsidR="009E0E5F" w:rsidRPr="0019334B">
              <w:rPr>
                <w:sz w:val="21"/>
                <w:szCs w:val="21"/>
              </w:rPr>
              <w:t>manœuvre</w:t>
            </w:r>
            <w:r w:rsidR="00873D63" w:rsidRPr="0019334B">
              <w:rPr>
                <w:sz w:val="21"/>
                <w:szCs w:val="21"/>
              </w:rPr>
              <w:t xml:space="preserve"> stratégique</w:t>
            </w:r>
            <w:r w:rsidR="004D0E03" w:rsidRPr="0019334B">
              <w:rPr>
                <w:sz w:val="21"/>
                <w:szCs w:val="21"/>
              </w:rPr>
              <w:t xml:space="preserve">, valorisation des ressources locales, </w:t>
            </w:r>
            <w:r w:rsidR="00EE2D99" w:rsidRPr="0019334B">
              <w:rPr>
                <w:sz w:val="21"/>
                <w:szCs w:val="21"/>
              </w:rPr>
              <w:t>t</w:t>
            </w:r>
            <w:r w:rsidR="00873D63" w:rsidRPr="0019334B">
              <w:rPr>
                <w:sz w:val="21"/>
                <w:szCs w:val="21"/>
              </w:rPr>
              <w:t>ransfert</w:t>
            </w:r>
            <w:r w:rsidR="00EE2D99" w:rsidRPr="0019334B">
              <w:rPr>
                <w:sz w:val="21"/>
                <w:szCs w:val="21"/>
              </w:rPr>
              <w:t xml:space="preserve"> de compétences, groupes de pression</w:t>
            </w:r>
          </w:p>
        </w:tc>
      </w:tr>
      <w:tr w:rsidR="008A26FC" w:rsidRPr="0019334B">
        <w:trPr>
          <w:cantSplit/>
          <w:trHeight w:val="552"/>
          <w:jc w:val="center"/>
        </w:trPr>
        <w:tc>
          <w:tcPr>
            <w:tcW w:w="5040" w:type="dxa"/>
            <w:vMerge/>
          </w:tcPr>
          <w:p w:rsidR="008A26FC" w:rsidRPr="0019334B" w:rsidRDefault="008A26FC" w:rsidP="00453EE1">
            <w:pPr>
              <w:rPr>
                <w:sz w:val="21"/>
                <w:szCs w:val="21"/>
              </w:rPr>
            </w:pPr>
          </w:p>
        </w:tc>
        <w:tc>
          <w:tcPr>
            <w:tcW w:w="4857" w:type="dxa"/>
            <w:shd w:val="clear" w:color="auto" w:fill="F3F3F3"/>
          </w:tcPr>
          <w:p w:rsidR="008A26FC" w:rsidRPr="0019334B" w:rsidRDefault="008A26FC" w:rsidP="00453EE1">
            <w:pPr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 xml:space="preserve">Date de publication sur le site : </w:t>
            </w:r>
          </w:p>
          <w:p w:rsidR="008A26FC" w:rsidRPr="0019334B" w:rsidRDefault="008A26FC" w:rsidP="00453EE1">
            <w:pPr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 xml:space="preserve">Date de révision : </w:t>
            </w:r>
          </w:p>
        </w:tc>
      </w:tr>
    </w:tbl>
    <w:p w:rsidR="008A26FC" w:rsidRPr="0019334B" w:rsidRDefault="008A26FC" w:rsidP="008A26FC">
      <w:pPr>
        <w:rPr>
          <w:sz w:val="21"/>
          <w:szCs w:val="21"/>
        </w:rPr>
      </w:pPr>
    </w:p>
    <w:tbl>
      <w:tblPr>
        <w:tblW w:w="993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2"/>
      </w:tblGrid>
      <w:tr w:rsidR="008A26FC" w:rsidRPr="0019334B" w:rsidTr="0025463A">
        <w:trPr>
          <w:trHeight w:val="302"/>
          <w:jc w:val="center"/>
        </w:trPr>
        <w:tc>
          <w:tcPr>
            <w:tcW w:w="9932" w:type="dxa"/>
          </w:tcPr>
          <w:p w:rsidR="008A26FC" w:rsidRPr="0019334B" w:rsidRDefault="008A26FC" w:rsidP="0025463A">
            <w:pPr>
              <w:jc w:val="center"/>
              <w:rPr>
                <w:b/>
                <w:caps/>
                <w:sz w:val="21"/>
                <w:szCs w:val="21"/>
              </w:rPr>
            </w:pPr>
            <w:r w:rsidRPr="0019334B">
              <w:rPr>
                <w:b/>
                <w:caps/>
                <w:sz w:val="21"/>
                <w:szCs w:val="21"/>
              </w:rPr>
              <w:t xml:space="preserve">Management des </w:t>
            </w:r>
            <w:r w:rsidR="008E5547" w:rsidRPr="0019334B">
              <w:rPr>
                <w:b/>
                <w:caps/>
                <w:sz w:val="21"/>
                <w:szCs w:val="21"/>
              </w:rPr>
              <w:t>organisations - STMG</w:t>
            </w:r>
          </w:p>
        </w:tc>
      </w:tr>
    </w:tbl>
    <w:p w:rsidR="008A26FC" w:rsidRPr="0019334B" w:rsidRDefault="008A26FC" w:rsidP="008A26FC">
      <w:pPr>
        <w:rPr>
          <w:sz w:val="21"/>
          <w:szCs w:val="21"/>
        </w:rPr>
      </w:pPr>
    </w:p>
    <w:tbl>
      <w:tblPr>
        <w:tblW w:w="9899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8A26FC" w:rsidRPr="0019334B" w:rsidTr="0025463A">
        <w:trPr>
          <w:trHeight w:val="425"/>
          <w:jc w:val="center"/>
        </w:trPr>
        <w:tc>
          <w:tcPr>
            <w:tcW w:w="9899" w:type="dxa"/>
          </w:tcPr>
          <w:p w:rsidR="008E5547" w:rsidRPr="0019334B" w:rsidRDefault="0025463A" w:rsidP="008E5547">
            <w:pPr>
              <w:rPr>
                <w:b/>
                <w:bCs/>
                <w:sz w:val="21"/>
                <w:szCs w:val="21"/>
              </w:rPr>
            </w:pPr>
            <w:r w:rsidRPr="0019334B">
              <w:rPr>
                <w:b/>
                <w:caps/>
                <w:sz w:val="21"/>
                <w:szCs w:val="21"/>
              </w:rPr>
              <w:t xml:space="preserve">Intitulé de la séquence </w:t>
            </w:r>
            <w:r w:rsidR="008A26FC" w:rsidRPr="0019334B">
              <w:rPr>
                <w:b/>
                <w:sz w:val="21"/>
                <w:szCs w:val="21"/>
              </w:rPr>
              <w:t xml:space="preserve">: </w:t>
            </w:r>
            <w:r w:rsidR="009A54E8" w:rsidRPr="0019334B">
              <w:rPr>
                <w:b/>
                <w:sz w:val="21"/>
                <w:szCs w:val="21"/>
              </w:rPr>
              <w:t xml:space="preserve">La stratégie de Montpellier Agglomération </w:t>
            </w:r>
          </w:p>
          <w:p w:rsidR="008E5547" w:rsidRPr="0019334B" w:rsidRDefault="008E5547" w:rsidP="008E5547">
            <w:pPr>
              <w:rPr>
                <w:b/>
                <w:sz w:val="21"/>
                <w:szCs w:val="21"/>
              </w:rPr>
            </w:pPr>
          </w:p>
        </w:tc>
      </w:tr>
    </w:tbl>
    <w:p w:rsidR="008A26FC" w:rsidRPr="0019334B" w:rsidRDefault="008A26FC" w:rsidP="008A26FC">
      <w:pPr>
        <w:rPr>
          <w:sz w:val="21"/>
          <w:szCs w:val="21"/>
        </w:rPr>
      </w:pPr>
    </w:p>
    <w:tbl>
      <w:tblPr>
        <w:tblW w:w="9969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8A26FC" w:rsidRPr="0019334B" w:rsidTr="00D81F4F">
        <w:trPr>
          <w:trHeight w:val="970"/>
          <w:jc w:val="center"/>
        </w:trPr>
        <w:tc>
          <w:tcPr>
            <w:tcW w:w="9969" w:type="dxa"/>
          </w:tcPr>
          <w:p w:rsidR="00706AB3" w:rsidRDefault="0025463A" w:rsidP="00D81F4F">
            <w:pPr>
              <w:rPr>
                <w:b/>
                <w:caps/>
                <w:sz w:val="21"/>
                <w:szCs w:val="21"/>
              </w:rPr>
            </w:pPr>
            <w:r w:rsidRPr="0019334B">
              <w:rPr>
                <w:b/>
                <w:caps/>
                <w:sz w:val="21"/>
                <w:szCs w:val="21"/>
              </w:rPr>
              <w:t>t</w:t>
            </w:r>
            <w:r w:rsidR="00C231C9" w:rsidRPr="0019334B">
              <w:rPr>
                <w:b/>
                <w:caps/>
                <w:sz w:val="21"/>
                <w:szCs w:val="21"/>
              </w:rPr>
              <w:t>hème et sous-thème du programme :</w:t>
            </w:r>
          </w:p>
          <w:p w:rsidR="00E112D7" w:rsidRPr="0019334B" w:rsidRDefault="00806D19" w:rsidP="001577ED">
            <w:pPr>
              <w:spacing w:line="276" w:lineRule="auto"/>
              <w:rPr>
                <w:b/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 xml:space="preserve">Thème 7 : </w:t>
            </w:r>
            <w:r w:rsidR="00E112D7" w:rsidRPr="0019334B">
              <w:rPr>
                <w:bCs/>
                <w:sz w:val="21"/>
                <w:szCs w:val="21"/>
              </w:rPr>
              <w:t>La stratégie des organisations</w:t>
            </w:r>
            <w:r w:rsidR="00E112D7" w:rsidRPr="0019334B">
              <w:rPr>
                <w:b/>
                <w:bCs/>
                <w:sz w:val="21"/>
                <w:szCs w:val="21"/>
              </w:rPr>
              <w:t xml:space="preserve"> </w:t>
            </w:r>
          </w:p>
          <w:p w:rsidR="0077266C" w:rsidRPr="0019334B" w:rsidRDefault="00CF24F3" w:rsidP="001577ED">
            <w:pPr>
              <w:spacing w:line="276" w:lineRule="auto"/>
              <w:rPr>
                <w:i/>
                <w:caps/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7</w:t>
            </w:r>
            <w:r w:rsidR="0077266C" w:rsidRPr="0019334B">
              <w:rPr>
                <w:sz w:val="21"/>
                <w:szCs w:val="21"/>
              </w:rPr>
              <w:t>.</w:t>
            </w:r>
            <w:r w:rsidRPr="0019334B">
              <w:rPr>
                <w:sz w:val="21"/>
                <w:szCs w:val="21"/>
              </w:rPr>
              <w:t xml:space="preserve">2 La stratégie des organisations publiques : quelles spécificités ?  </w:t>
            </w:r>
          </w:p>
        </w:tc>
      </w:tr>
      <w:tr w:rsidR="008A26FC" w:rsidRPr="0019334B" w:rsidTr="00D81F4F">
        <w:trPr>
          <w:trHeight w:val="970"/>
          <w:jc w:val="center"/>
        </w:trPr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6C" w:rsidRPr="0019334B" w:rsidRDefault="00844331" w:rsidP="009E0E5F">
            <w:pPr>
              <w:jc w:val="both"/>
              <w:rPr>
                <w:sz w:val="21"/>
                <w:szCs w:val="21"/>
              </w:rPr>
            </w:pPr>
            <w:r w:rsidRPr="0019334B">
              <w:rPr>
                <w:b/>
                <w:bCs/>
                <w:smallCaps/>
                <w:sz w:val="21"/>
                <w:szCs w:val="21"/>
              </w:rPr>
              <w:t>q</w:t>
            </w:r>
            <w:r w:rsidR="00C231C9" w:rsidRPr="0019334B">
              <w:rPr>
                <w:b/>
                <w:bCs/>
                <w:smallCaps/>
                <w:sz w:val="21"/>
                <w:szCs w:val="21"/>
              </w:rPr>
              <w:t>uestions et problématiques abordées</w:t>
            </w:r>
            <w:r w:rsidR="00C231C9" w:rsidRPr="0019334B">
              <w:rPr>
                <w:sz w:val="21"/>
                <w:szCs w:val="21"/>
              </w:rPr>
              <w:t> :</w:t>
            </w:r>
            <w:r w:rsidR="0077266C" w:rsidRPr="0019334B">
              <w:rPr>
                <w:sz w:val="21"/>
                <w:szCs w:val="21"/>
              </w:rPr>
              <w:t xml:space="preserve"> </w:t>
            </w:r>
          </w:p>
          <w:p w:rsidR="00126557" w:rsidRPr="0019334B" w:rsidRDefault="00CF24F3" w:rsidP="009E0E5F">
            <w:pPr>
              <w:jc w:val="both"/>
              <w:rPr>
                <w:sz w:val="21"/>
                <w:szCs w:val="21"/>
              </w:rPr>
            </w:pPr>
            <w:r w:rsidRPr="0019334B">
              <w:rPr>
                <w:b/>
                <w:sz w:val="21"/>
                <w:szCs w:val="21"/>
              </w:rPr>
              <w:t>7.2</w:t>
            </w:r>
            <w:r w:rsidR="0077266C" w:rsidRPr="0019334B">
              <w:rPr>
                <w:b/>
                <w:sz w:val="21"/>
                <w:szCs w:val="21"/>
              </w:rPr>
              <w:t xml:space="preserve"> </w:t>
            </w:r>
            <w:r w:rsidR="00EE2D99" w:rsidRPr="0019334B">
              <w:rPr>
                <w:i/>
                <w:sz w:val="21"/>
                <w:szCs w:val="21"/>
              </w:rPr>
              <w:t>Q</w:t>
            </w:r>
            <w:r w:rsidR="00E112D7" w:rsidRPr="0019334B">
              <w:rPr>
                <w:i/>
                <w:sz w:val="21"/>
                <w:szCs w:val="21"/>
              </w:rPr>
              <w:t xml:space="preserve">uelles sont les spécificités </w:t>
            </w:r>
            <w:r w:rsidR="009E0E5F" w:rsidRPr="0019334B">
              <w:rPr>
                <w:i/>
                <w:sz w:val="21"/>
                <w:szCs w:val="21"/>
              </w:rPr>
              <w:t xml:space="preserve">de la stratégie </w:t>
            </w:r>
            <w:r w:rsidR="00E112D7" w:rsidRPr="0019334B">
              <w:rPr>
                <w:i/>
                <w:sz w:val="21"/>
                <w:szCs w:val="21"/>
              </w:rPr>
              <w:t xml:space="preserve">des organisations publiques et plus particulièrement des collectivités locales ? </w:t>
            </w:r>
            <w:r w:rsidR="00C914FE" w:rsidRPr="0019334B">
              <w:rPr>
                <w:i/>
                <w:sz w:val="21"/>
                <w:szCs w:val="21"/>
              </w:rPr>
              <w:t xml:space="preserve">Les organisations publiques disposent-elles d’une marge de manœuvre en matière de choix stratégiques ? </w:t>
            </w:r>
            <w:r w:rsidR="00E112D7" w:rsidRPr="0019334B">
              <w:rPr>
                <w:i/>
                <w:sz w:val="21"/>
                <w:szCs w:val="21"/>
              </w:rPr>
              <w:t xml:space="preserve">Quelles sont leurs contraintes </w:t>
            </w:r>
            <w:r w:rsidR="00740CFB" w:rsidRPr="0019334B">
              <w:rPr>
                <w:i/>
                <w:sz w:val="21"/>
                <w:szCs w:val="21"/>
              </w:rPr>
              <w:t xml:space="preserve">qui pèsent sur les organisations publiques </w:t>
            </w:r>
            <w:r w:rsidR="00E112D7" w:rsidRPr="0019334B">
              <w:rPr>
                <w:i/>
                <w:sz w:val="21"/>
                <w:szCs w:val="21"/>
              </w:rPr>
              <w:t xml:space="preserve">en </w:t>
            </w:r>
            <w:r w:rsidR="0025698E" w:rsidRPr="0019334B">
              <w:rPr>
                <w:i/>
                <w:sz w:val="21"/>
                <w:szCs w:val="21"/>
              </w:rPr>
              <w:t>termes</w:t>
            </w:r>
            <w:r w:rsidR="00E112D7" w:rsidRPr="0019334B">
              <w:rPr>
                <w:i/>
                <w:sz w:val="21"/>
                <w:szCs w:val="21"/>
              </w:rPr>
              <w:t xml:space="preserve"> de </w:t>
            </w:r>
            <w:r w:rsidR="00EE2D99" w:rsidRPr="0019334B">
              <w:rPr>
                <w:i/>
                <w:sz w:val="21"/>
                <w:szCs w:val="21"/>
              </w:rPr>
              <w:t xml:space="preserve">choix </w:t>
            </w:r>
            <w:r w:rsidR="00E112D7" w:rsidRPr="0019334B">
              <w:rPr>
                <w:i/>
                <w:sz w:val="21"/>
                <w:szCs w:val="21"/>
              </w:rPr>
              <w:t>stratégi</w:t>
            </w:r>
            <w:r w:rsidR="00EE2D99" w:rsidRPr="0019334B">
              <w:rPr>
                <w:i/>
                <w:sz w:val="21"/>
                <w:szCs w:val="21"/>
              </w:rPr>
              <w:t>ques</w:t>
            </w:r>
            <w:r w:rsidR="00E112D7" w:rsidRPr="0019334B">
              <w:rPr>
                <w:i/>
                <w:sz w:val="21"/>
                <w:szCs w:val="21"/>
              </w:rPr>
              <w:t> ?</w:t>
            </w:r>
            <w:r w:rsidR="00740CFB" w:rsidRPr="0019334B">
              <w:rPr>
                <w:i/>
                <w:sz w:val="21"/>
                <w:szCs w:val="21"/>
              </w:rPr>
              <w:t xml:space="preserve"> ou Quelles contraintes doivent nécessairement prendre en compte les organisations publiques en matière de choix stratégiques ?</w:t>
            </w:r>
          </w:p>
        </w:tc>
      </w:tr>
    </w:tbl>
    <w:p w:rsidR="008A26FC" w:rsidRPr="0019334B" w:rsidRDefault="008A26FC" w:rsidP="008A26FC">
      <w:pPr>
        <w:rPr>
          <w:sz w:val="21"/>
          <w:szCs w:val="21"/>
        </w:rPr>
      </w:pPr>
    </w:p>
    <w:tbl>
      <w:tblPr>
        <w:tblW w:w="1001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138"/>
      </w:tblGrid>
      <w:tr w:rsidR="008A26FC" w:rsidRPr="0019334B">
        <w:trPr>
          <w:jc w:val="center"/>
        </w:trPr>
        <w:tc>
          <w:tcPr>
            <w:tcW w:w="2880" w:type="dxa"/>
          </w:tcPr>
          <w:p w:rsidR="0025463A" w:rsidRPr="0019334B" w:rsidRDefault="0025463A" w:rsidP="00453EE1">
            <w:pPr>
              <w:rPr>
                <w:b/>
                <w:smallCaps/>
                <w:sz w:val="21"/>
                <w:szCs w:val="21"/>
              </w:rPr>
            </w:pPr>
          </w:p>
          <w:p w:rsidR="008A26FC" w:rsidRPr="0019334B" w:rsidRDefault="00CB1680" w:rsidP="00453EE1">
            <w:pPr>
              <w:rPr>
                <w:b/>
                <w:smallCaps/>
                <w:sz w:val="21"/>
                <w:szCs w:val="21"/>
              </w:rPr>
            </w:pPr>
            <w:r w:rsidRPr="0019334B">
              <w:rPr>
                <w:b/>
                <w:smallCaps/>
                <w:sz w:val="21"/>
                <w:szCs w:val="21"/>
              </w:rPr>
              <w:t>public</w:t>
            </w:r>
          </w:p>
          <w:p w:rsidR="0025463A" w:rsidRPr="0019334B" w:rsidRDefault="0025463A" w:rsidP="00453EE1">
            <w:pPr>
              <w:rPr>
                <w:b/>
                <w:smallCaps/>
                <w:sz w:val="21"/>
                <w:szCs w:val="21"/>
              </w:rPr>
            </w:pPr>
          </w:p>
        </w:tc>
        <w:tc>
          <w:tcPr>
            <w:tcW w:w="7138" w:type="dxa"/>
          </w:tcPr>
          <w:p w:rsidR="0076464F" w:rsidRPr="0019334B" w:rsidRDefault="0076464F" w:rsidP="00453EE1">
            <w:pPr>
              <w:rPr>
                <w:b/>
                <w:sz w:val="21"/>
                <w:szCs w:val="21"/>
              </w:rPr>
            </w:pPr>
          </w:p>
          <w:p w:rsidR="008A26FC" w:rsidRPr="0019334B" w:rsidRDefault="00CB1680" w:rsidP="00453EE1">
            <w:pPr>
              <w:rPr>
                <w:b/>
                <w:sz w:val="21"/>
                <w:szCs w:val="21"/>
              </w:rPr>
            </w:pPr>
            <w:r w:rsidRPr="0019334B">
              <w:rPr>
                <w:b/>
                <w:sz w:val="21"/>
                <w:szCs w:val="21"/>
              </w:rPr>
              <w:t>Terminale STMG</w:t>
            </w:r>
          </w:p>
        </w:tc>
      </w:tr>
      <w:tr w:rsidR="008A26FC" w:rsidRPr="0019334B">
        <w:trPr>
          <w:jc w:val="center"/>
        </w:trPr>
        <w:tc>
          <w:tcPr>
            <w:tcW w:w="2880" w:type="dxa"/>
          </w:tcPr>
          <w:p w:rsidR="00C231C9" w:rsidRPr="0019334B" w:rsidRDefault="00844331" w:rsidP="00C231C9">
            <w:pPr>
              <w:rPr>
                <w:b/>
                <w:bCs/>
                <w:smallCaps/>
                <w:sz w:val="21"/>
                <w:szCs w:val="21"/>
              </w:rPr>
            </w:pPr>
            <w:r w:rsidRPr="0019334B">
              <w:rPr>
                <w:b/>
                <w:bCs/>
                <w:smallCaps/>
                <w:sz w:val="21"/>
                <w:szCs w:val="21"/>
              </w:rPr>
              <w:t>c</w:t>
            </w:r>
            <w:r w:rsidR="00C231C9" w:rsidRPr="0019334B">
              <w:rPr>
                <w:b/>
                <w:bCs/>
                <w:smallCaps/>
                <w:sz w:val="21"/>
                <w:szCs w:val="21"/>
              </w:rPr>
              <w:t>apacités du programme</w:t>
            </w:r>
          </w:p>
          <w:p w:rsidR="008A7FA4" w:rsidRPr="0019334B" w:rsidRDefault="008A7FA4" w:rsidP="00453EE1">
            <w:pPr>
              <w:rPr>
                <w:b/>
                <w:smallCaps/>
                <w:sz w:val="21"/>
                <w:szCs w:val="21"/>
              </w:rPr>
            </w:pPr>
          </w:p>
          <w:p w:rsidR="008A7FA4" w:rsidRPr="0019334B" w:rsidRDefault="008A7FA4" w:rsidP="00453EE1">
            <w:pPr>
              <w:rPr>
                <w:b/>
                <w:smallCaps/>
                <w:sz w:val="21"/>
                <w:szCs w:val="21"/>
              </w:rPr>
            </w:pPr>
          </w:p>
          <w:p w:rsidR="008A7FA4" w:rsidRPr="0019334B" w:rsidRDefault="008A7FA4" w:rsidP="00453EE1">
            <w:pPr>
              <w:rPr>
                <w:b/>
                <w:smallCaps/>
                <w:sz w:val="21"/>
                <w:szCs w:val="21"/>
              </w:rPr>
            </w:pPr>
          </w:p>
        </w:tc>
        <w:tc>
          <w:tcPr>
            <w:tcW w:w="7138" w:type="dxa"/>
          </w:tcPr>
          <w:p w:rsidR="0020771A" w:rsidRPr="0019334B" w:rsidRDefault="00CB1680" w:rsidP="0020771A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- Identifier les ressources spécifiques qu’une organisation </w:t>
            </w:r>
            <w:r w:rsidR="004F5130"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publique </w:t>
            </w: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peut valoriser </w:t>
            </w:r>
          </w:p>
          <w:p w:rsidR="0020771A" w:rsidRPr="0019334B" w:rsidRDefault="00CB1680" w:rsidP="0020771A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="Cambria Math" w:hAnsi="Cambria Math" w:cs="Cambria Math"/>
                <w:sz w:val="21"/>
                <w:szCs w:val="21"/>
              </w:rPr>
              <w:t>‐</w:t>
            </w: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 Repérer et analyser les choix stratégiques d’une organisation </w:t>
            </w:r>
            <w:r w:rsidR="004F5130" w:rsidRPr="0019334B">
              <w:rPr>
                <w:rFonts w:asciiTheme="majorBidi" w:hAnsiTheme="majorBidi" w:cstheme="majorBidi"/>
                <w:sz w:val="21"/>
                <w:szCs w:val="21"/>
              </w:rPr>
              <w:t>(publique)</w:t>
            </w:r>
          </w:p>
          <w:p w:rsidR="0020771A" w:rsidRPr="0019334B" w:rsidRDefault="00CB1680" w:rsidP="0020771A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="Cambria Math" w:hAnsi="Cambria Math" w:cs="Cambria Math"/>
                <w:sz w:val="21"/>
                <w:szCs w:val="21"/>
              </w:rPr>
              <w:t>‐</w:t>
            </w: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 Caractériser les spécificités des décisions stratégiques dans les organisations publiques</w:t>
            </w:r>
          </w:p>
          <w:p w:rsidR="00126557" w:rsidRPr="0019334B" w:rsidRDefault="00CB1680" w:rsidP="00CF0B4B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="Cambria Math" w:hAnsi="Cambria Math" w:cs="Cambria Math"/>
                <w:sz w:val="21"/>
                <w:szCs w:val="21"/>
              </w:rPr>
              <w:t>‐</w:t>
            </w: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 Repérer l’influence exercée par les parties prenantes sur les choix stratégiques d’une organisation</w:t>
            </w:r>
            <w:r w:rsidR="00897971"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4F5130" w:rsidRPr="0019334B">
              <w:rPr>
                <w:rFonts w:asciiTheme="majorBidi" w:hAnsiTheme="majorBidi" w:cstheme="majorBidi"/>
                <w:sz w:val="21"/>
                <w:szCs w:val="21"/>
              </w:rPr>
              <w:t>(publique)</w:t>
            </w:r>
          </w:p>
        </w:tc>
      </w:tr>
      <w:tr w:rsidR="008A26FC" w:rsidRPr="0019334B">
        <w:trPr>
          <w:jc w:val="center"/>
        </w:trPr>
        <w:tc>
          <w:tcPr>
            <w:tcW w:w="2880" w:type="dxa"/>
          </w:tcPr>
          <w:p w:rsidR="00C231C9" w:rsidRPr="0019334B" w:rsidRDefault="00844331" w:rsidP="00C231C9">
            <w:pPr>
              <w:rPr>
                <w:b/>
                <w:smallCaps/>
                <w:sz w:val="21"/>
                <w:szCs w:val="21"/>
              </w:rPr>
            </w:pPr>
            <w:r w:rsidRPr="0019334B">
              <w:rPr>
                <w:b/>
                <w:smallCaps/>
                <w:sz w:val="21"/>
                <w:szCs w:val="21"/>
              </w:rPr>
              <w:t>n</w:t>
            </w:r>
            <w:r w:rsidR="00C231C9" w:rsidRPr="0019334B">
              <w:rPr>
                <w:b/>
                <w:smallCaps/>
                <w:sz w:val="21"/>
                <w:szCs w:val="21"/>
              </w:rPr>
              <w:t>otions du programme</w:t>
            </w:r>
          </w:p>
          <w:p w:rsidR="008A26FC" w:rsidRPr="0019334B" w:rsidRDefault="008A26FC" w:rsidP="00C231C9">
            <w:pPr>
              <w:rPr>
                <w:b/>
                <w:smallCaps/>
                <w:sz w:val="21"/>
                <w:szCs w:val="21"/>
              </w:rPr>
            </w:pPr>
          </w:p>
        </w:tc>
        <w:tc>
          <w:tcPr>
            <w:tcW w:w="7138" w:type="dxa"/>
          </w:tcPr>
          <w:p w:rsidR="0025698E" w:rsidRPr="0019334B" w:rsidRDefault="00CB1680" w:rsidP="0025698E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- Marge de manœuvre stratégique </w:t>
            </w:r>
          </w:p>
          <w:p w:rsidR="0025698E" w:rsidRPr="0019334B" w:rsidRDefault="00CB1680" w:rsidP="0025698E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- Valorisation des ressources locales </w:t>
            </w:r>
          </w:p>
          <w:p w:rsidR="0025698E" w:rsidRPr="0019334B" w:rsidRDefault="00CB1680" w:rsidP="0025698E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- Transferts de compétences </w:t>
            </w:r>
          </w:p>
          <w:p w:rsidR="00126557" w:rsidRPr="0019334B" w:rsidRDefault="00CB1680" w:rsidP="0025698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1"/>
                <w:szCs w:val="21"/>
              </w:rPr>
            </w:pPr>
            <w:r w:rsidRPr="0019334B">
              <w:rPr>
                <w:rFonts w:asciiTheme="majorBidi" w:hAnsiTheme="majorBidi" w:cstheme="majorBidi"/>
                <w:sz w:val="21"/>
                <w:szCs w:val="21"/>
              </w:rPr>
              <w:t xml:space="preserve">- Groupes de pression </w:t>
            </w:r>
          </w:p>
        </w:tc>
      </w:tr>
      <w:tr w:rsidR="008A26FC" w:rsidRPr="0019334B">
        <w:trPr>
          <w:jc w:val="center"/>
        </w:trPr>
        <w:tc>
          <w:tcPr>
            <w:tcW w:w="2880" w:type="dxa"/>
          </w:tcPr>
          <w:p w:rsidR="00C231C9" w:rsidRPr="0019334B" w:rsidRDefault="00844331" w:rsidP="00C231C9">
            <w:pPr>
              <w:rPr>
                <w:b/>
                <w:smallCaps/>
                <w:sz w:val="21"/>
                <w:szCs w:val="21"/>
              </w:rPr>
            </w:pPr>
            <w:r w:rsidRPr="0019334B">
              <w:rPr>
                <w:b/>
                <w:smallCaps/>
                <w:sz w:val="21"/>
                <w:szCs w:val="21"/>
              </w:rPr>
              <w:t>o</w:t>
            </w:r>
            <w:r w:rsidR="00C231C9" w:rsidRPr="0019334B">
              <w:rPr>
                <w:b/>
                <w:smallCaps/>
                <w:sz w:val="21"/>
                <w:szCs w:val="21"/>
              </w:rPr>
              <w:t xml:space="preserve">bjectifs pédagogiques </w:t>
            </w:r>
          </w:p>
          <w:p w:rsidR="008A7FA4" w:rsidRPr="0019334B" w:rsidRDefault="008A7FA4" w:rsidP="00126557">
            <w:pPr>
              <w:rPr>
                <w:b/>
                <w:smallCaps/>
                <w:sz w:val="21"/>
                <w:szCs w:val="21"/>
              </w:rPr>
            </w:pPr>
          </w:p>
          <w:p w:rsidR="008A7FA4" w:rsidRPr="0019334B" w:rsidRDefault="008A7FA4" w:rsidP="00126557">
            <w:pPr>
              <w:rPr>
                <w:b/>
                <w:smallCaps/>
                <w:sz w:val="21"/>
                <w:szCs w:val="21"/>
              </w:rPr>
            </w:pPr>
          </w:p>
          <w:p w:rsidR="008A7FA4" w:rsidRPr="0019334B" w:rsidRDefault="008A7FA4" w:rsidP="00126557">
            <w:pPr>
              <w:rPr>
                <w:b/>
                <w:smallCaps/>
                <w:sz w:val="21"/>
                <w:szCs w:val="21"/>
              </w:rPr>
            </w:pPr>
          </w:p>
        </w:tc>
        <w:tc>
          <w:tcPr>
            <w:tcW w:w="7138" w:type="dxa"/>
          </w:tcPr>
          <w:p w:rsidR="006401F1" w:rsidRPr="0019334B" w:rsidRDefault="003616AF" w:rsidP="008D11AE">
            <w:pPr>
              <w:widowControl w:val="0"/>
              <w:ind w:left="17"/>
              <w:jc w:val="both"/>
              <w:rPr>
                <w:color w:val="000000"/>
                <w:sz w:val="21"/>
                <w:szCs w:val="21"/>
              </w:rPr>
            </w:pPr>
            <w:r w:rsidRPr="0019334B">
              <w:rPr>
                <w:color w:val="000000"/>
                <w:sz w:val="21"/>
                <w:szCs w:val="21"/>
              </w:rPr>
              <w:t xml:space="preserve">Abordé </w:t>
            </w:r>
            <w:r w:rsidR="008D11AE" w:rsidRPr="0019334B">
              <w:rPr>
                <w:color w:val="000000"/>
                <w:sz w:val="21"/>
                <w:szCs w:val="21"/>
              </w:rPr>
              <w:t>à la suite de</w:t>
            </w:r>
            <w:r w:rsidRPr="0019334B">
              <w:rPr>
                <w:color w:val="000000"/>
                <w:sz w:val="21"/>
                <w:szCs w:val="21"/>
              </w:rPr>
              <w:t xml:space="preserve"> la stratégie des </w:t>
            </w:r>
            <w:r w:rsidR="008D11AE" w:rsidRPr="0019334B">
              <w:rPr>
                <w:color w:val="000000"/>
                <w:sz w:val="21"/>
                <w:szCs w:val="21"/>
              </w:rPr>
              <w:t>entreprises</w:t>
            </w:r>
            <w:r w:rsidRPr="0019334B">
              <w:rPr>
                <w:color w:val="000000"/>
                <w:sz w:val="21"/>
                <w:szCs w:val="21"/>
              </w:rPr>
              <w:t xml:space="preserve">, cette </w:t>
            </w:r>
            <w:r w:rsidR="008D11AE" w:rsidRPr="0019334B">
              <w:rPr>
                <w:color w:val="000000"/>
                <w:sz w:val="21"/>
                <w:szCs w:val="21"/>
              </w:rPr>
              <w:t>séquence</w:t>
            </w:r>
            <w:r w:rsidRPr="0019334B">
              <w:rPr>
                <w:color w:val="000000"/>
                <w:sz w:val="21"/>
                <w:szCs w:val="21"/>
              </w:rPr>
              <w:t xml:space="preserve"> doi</w:t>
            </w:r>
            <w:r w:rsidR="008D11AE" w:rsidRPr="0019334B">
              <w:rPr>
                <w:color w:val="000000"/>
                <w:sz w:val="21"/>
                <w:szCs w:val="21"/>
              </w:rPr>
              <w:t>t</w:t>
            </w:r>
            <w:r w:rsidRPr="0019334B">
              <w:rPr>
                <w:color w:val="000000"/>
                <w:sz w:val="21"/>
                <w:szCs w:val="21"/>
              </w:rPr>
              <w:t xml:space="preserve"> permettre de mettre en évidence dans un premier temps les marges de </w:t>
            </w:r>
            <w:r w:rsidR="008D11AE" w:rsidRPr="0019334B">
              <w:rPr>
                <w:color w:val="000000"/>
                <w:sz w:val="21"/>
                <w:szCs w:val="21"/>
              </w:rPr>
              <w:t>manœuvre</w:t>
            </w:r>
            <w:r w:rsidRPr="0019334B">
              <w:rPr>
                <w:color w:val="000000"/>
                <w:sz w:val="21"/>
                <w:szCs w:val="21"/>
              </w:rPr>
              <w:t xml:space="preserve"> stratégique</w:t>
            </w:r>
            <w:r w:rsidR="00E914A3" w:rsidRPr="0019334B">
              <w:rPr>
                <w:color w:val="000000"/>
                <w:sz w:val="21"/>
                <w:szCs w:val="21"/>
              </w:rPr>
              <w:t>s</w:t>
            </w:r>
            <w:r w:rsidRPr="0019334B">
              <w:rPr>
                <w:color w:val="000000"/>
                <w:sz w:val="21"/>
                <w:szCs w:val="21"/>
              </w:rPr>
              <w:t xml:space="preserve"> d’u</w:t>
            </w:r>
            <w:r w:rsidR="008D11AE" w:rsidRPr="0019334B">
              <w:rPr>
                <w:color w:val="000000"/>
                <w:sz w:val="21"/>
                <w:szCs w:val="21"/>
              </w:rPr>
              <w:t>ne organisation publique en ins</w:t>
            </w:r>
            <w:r w:rsidRPr="0019334B">
              <w:rPr>
                <w:color w:val="000000"/>
                <w:sz w:val="21"/>
                <w:szCs w:val="21"/>
              </w:rPr>
              <w:t>istant sur ses contraintes (finalité de l’</w:t>
            </w:r>
            <w:r w:rsidR="008D11AE" w:rsidRPr="0019334B">
              <w:rPr>
                <w:color w:val="000000"/>
                <w:sz w:val="21"/>
                <w:szCs w:val="21"/>
              </w:rPr>
              <w:t>organisation</w:t>
            </w:r>
            <w:r w:rsidRPr="0019334B">
              <w:rPr>
                <w:color w:val="000000"/>
                <w:sz w:val="21"/>
                <w:szCs w:val="21"/>
              </w:rPr>
              <w:t xml:space="preserve">, champ de </w:t>
            </w:r>
            <w:r w:rsidR="008D11AE" w:rsidRPr="0019334B">
              <w:rPr>
                <w:color w:val="000000"/>
                <w:sz w:val="21"/>
                <w:szCs w:val="21"/>
              </w:rPr>
              <w:t>compétence</w:t>
            </w:r>
            <w:r w:rsidRPr="0019334B">
              <w:rPr>
                <w:color w:val="000000"/>
                <w:sz w:val="21"/>
                <w:szCs w:val="21"/>
              </w:rPr>
              <w:t xml:space="preserve"> strictement encadré par la </w:t>
            </w:r>
            <w:r w:rsidR="008D11AE" w:rsidRPr="0019334B">
              <w:rPr>
                <w:color w:val="000000"/>
                <w:sz w:val="21"/>
                <w:szCs w:val="21"/>
              </w:rPr>
              <w:t>réglementation…).</w:t>
            </w:r>
          </w:p>
          <w:p w:rsidR="006401F1" w:rsidRPr="0019334B" w:rsidRDefault="008D11AE" w:rsidP="008D11AE">
            <w:pPr>
              <w:widowControl w:val="0"/>
              <w:ind w:left="17"/>
              <w:jc w:val="both"/>
              <w:rPr>
                <w:color w:val="000000"/>
                <w:sz w:val="21"/>
                <w:szCs w:val="21"/>
              </w:rPr>
            </w:pPr>
            <w:r w:rsidRPr="0019334B">
              <w:rPr>
                <w:color w:val="000000"/>
                <w:sz w:val="21"/>
                <w:szCs w:val="21"/>
              </w:rPr>
              <w:t>Cette séquence permet ensuite de montrer que</w:t>
            </w:r>
            <w:r w:rsidR="006401F1" w:rsidRPr="0019334B">
              <w:rPr>
                <w:color w:val="000000"/>
                <w:sz w:val="21"/>
                <w:szCs w:val="21"/>
              </w:rPr>
              <w:t>,</w:t>
            </w:r>
            <w:r w:rsidRPr="0019334B">
              <w:rPr>
                <w:color w:val="000000"/>
                <w:sz w:val="21"/>
                <w:szCs w:val="21"/>
              </w:rPr>
              <w:t xml:space="preserve"> comme pour les entreprises, les organisations publiques mènent une véritable analyse stratégique pour repérer et exploiter leurs atouts (ressources locales, points forts…).</w:t>
            </w:r>
          </w:p>
          <w:p w:rsidR="00986BE1" w:rsidRPr="0019334B" w:rsidRDefault="008D11AE" w:rsidP="008D11AE">
            <w:pPr>
              <w:widowControl w:val="0"/>
              <w:ind w:left="17"/>
              <w:jc w:val="both"/>
              <w:rPr>
                <w:color w:val="000000"/>
                <w:sz w:val="21"/>
                <w:szCs w:val="21"/>
              </w:rPr>
            </w:pPr>
            <w:r w:rsidRPr="0019334B">
              <w:rPr>
                <w:color w:val="000000"/>
                <w:sz w:val="21"/>
                <w:szCs w:val="21"/>
              </w:rPr>
              <w:t>Enfin, les parties-prenantes ou groupes de pressions qui influencent les orientations stratégiques définies par l’organisation sont également abordés dans cette séquence.</w:t>
            </w:r>
          </w:p>
        </w:tc>
      </w:tr>
      <w:tr w:rsidR="008A26FC" w:rsidRPr="0019334B" w:rsidTr="001577ED">
        <w:trPr>
          <w:trHeight w:val="1068"/>
          <w:jc w:val="center"/>
        </w:trPr>
        <w:tc>
          <w:tcPr>
            <w:tcW w:w="2880" w:type="dxa"/>
          </w:tcPr>
          <w:p w:rsidR="008A26FC" w:rsidRPr="0019334B" w:rsidRDefault="00844331" w:rsidP="00453EE1">
            <w:pPr>
              <w:rPr>
                <w:b/>
                <w:smallCaps/>
                <w:sz w:val="21"/>
                <w:szCs w:val="21"/>
              </w:rPr>
            </w:pPr>
            <w:r w:rsidRPr="0019334B">
              <w:rPr>
                <w:b/>
                <w:smallCaps/>
                <w:sz w:val="21"/>
                <w:szCs w:val="21"/>
              </w:rPr>
              <w:t>p</w:t>
            </w:r>
            <w:r w:rsidR="00A422EE" w:rsidRPr="0019334B">
              <w:rPr>
                <w:b/>
                <w:smallCaps/>
                <w:sz w:val="21"/>
                <w:szCs w:val="21"/>
              </w:rPr>
              <w:t>rérequis</w:t>
            </w:r>
          </w:p>
          <w:p w:rsidR="00A422EE" w:rsidRPr="0019334B" w:rsidRDefault="00A422EE" w:rsidP="00453EE1">
            <w:pPr>
              <w:rPr>
                <w:b/>
                <w:smallCaps/>
                <w:sz w:val="21"/>
                <w:szCs w:val="21"/>
              </w:rPr>
            </w:pPr>
          </w:p>
          <w:p w:rsidR="00A422EE" w:rsidRPr="0019334B" w:rsidRDefault="00A422EE" w:rsidP="00453EE1">
            <w:pPr>
              <w:rPr>
                <w:b/>
                <w:smallCaps/>
                <w:sz w:val="21"/>
                <w:szCs w:val="21"/>
              </w:rPr>
            </w:pPr>
          </w:p>
          <w:p w:rsidR="00A422EE" w:rsidRPr="0019334B" w:rsidRDefault="00A422EE" w:rsidP="00453EE1">
            <w:pPr>
              <w:rPr>
                <w:b/>
                <w:smallCaps/>
                <w:sz w:val="21"/>
                <w:szCs w:val="21"/>
              </w:rPr>
            </w:pPr>
          </w:p>
        </w:tc>
        <w:tc>
          <w:tcPr>
            <w:tcW w:w="7138" w:type="dxa"/>
          </w:tcPr>
          <w:p w:rsidR="00126557" w:rsidRPr="0019334B" w:rsidRDefault="00986BE1" w:rsidP="00453EE1">
            <w:pPr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Management</w:t>
            </w:r>
            <w:r w:rsidR="0025698E" w:rsidRPr="0019334B">
              <w:rPr>
                <w:sz w:val="21"/>
                <w:szCs w:val="21"/>
              </w:rPr>
              <w:t> : la stratégie des entreprises (sous-thème 7.1)</w:t>
            </w:r>
          </w:p>
          <w:p w:rsidR="00986BE1" w:rsidRPr="0019334B" w:rsidRDefault="00986BE1" w:rsidP="001577ED">
            <w:pPr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Science de gestion :</w:t>
            </w:r>
            <w:r w:rsidR="005037EA" w:rsidRPr="0019334B">
              <w:rPr>
                <w:sz w:val="21"/>
                <w:szCs w:val="21"/>
              </w:rPr>
              <w:t xml:space="preserve"> Gestion et création de valeur : </w:t>
            </w:r>
            <w:r w:rsidR="005037EA" w:rsidRPr="0019334B">
              <w:rPr>
                <w:i/>
                <w:sz w:val="21"/>
                <w:szCs w:val="21"/>
              </w:rPr>
              <w:t>une association, une organisation publique</w:t>
            </w:r>
            <w:r w:rsidR="001577ED">
              <w:rPr>
                <w:i/>
                <w:sz w:val="21"/>
                <w:szCs w:val="21"/>
              </w:rPr>
              <w:t xml:space="preserve"> et</w:t>
            </w:r>
            <w:r w:rsidR="005037EA" w:rsidRPr="0019334B">
              <w:rPr>
                <w:i/>
                <w:sz w:val="21"/>
                <w:szCs w:val="21"/>
              </w:rPr>
              <w:t xml:space="preserve"> une entreprise peuvent-elles être gérées  de façon identique ?</w:t>
            </w:r>
          </w:p>
        </w:tc>
      </w:tr>
      <w:tr w:rsidR="008A26FC" w:rsidRPr="0019334B">
        <w:trPr>
          <w:jc w:val="center"/>
        </w:trPr>
        <w:tc>
          <w:tcPr>
            <w:tcW w:w="2880" w:type="dxa"/>
          </w:tcPr>
          <w:p w:rsidR="00A422EE" w:rsidRPr="0019334B" w:rsidRDefault="00844331" w:rsidP="008A7FA4">
            <w:pPr>
              <w:rPr>
                <w:b/>
                <w:smallCaps/>
                <w:sz w:val="21"/>
                <w:szCs w:val="21"/>
              </w:rPr>
            </w:pPr>
            <w:r w:rsidRPr="0019334B">
              <w:rPr>
                <w:b/>
                <w:smallCaps/>
                <w:sz w:val="21"/>
                <w:szCs w:val="21"/>
              </w:rPr>
              <w:t>d</w:t>
            </w:r>
            <w:r w:rsidR="008A7FA4" w:rsidRPr="0019334B">
              <w:rPr>
                <w:b/>
                <w:smallCaps/>
                <w:sz w:val="21"/>
                <w:szCs w:val="21"/>
              </w:rPr>
              <w:t>urée de la séquence</w:t>
            </w:r>
          </w:p>
        </w:tc>
        <w:tc>
          <w:tcPr>
            <w:tcW w:w="7138" w:type="dxa"/>
          </w:tcPr>
          <w:p w:rsidR="00126557" w:rsidRPr="0019334B" w:rsidRDefault="00240872" w:rsidP="00453EE1">
            <w:pPr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 xml:space="preserve"> </w:t>
            </w:r>
            <w:r w:rsidR="0025698E" w:rsidRPr="0019334B">
              <w:rPr>
                <w:sz w:val="21"/>
                <w:szCs w:val="21"/>
              </w:rPr>
              <w:t xml:space="preserve">3 </w:t>
            </w:r>
            <w:r w:rsidRPr="0019334B">
              <w:rPr>
                <w:sz w:val="21"/>
                <w:szCs w:val="21"/>
              </w:rPr>
              <w:t>heures</w:t>
            </w:r>
          </w:p>
          <w:p w:rsidR="00126557" w:rsidRPr="0019334B" w:rsidRDefault="00126557" w:rsidP="00453EE1">
            <w:pPr>
              <w:rPr>
                <w:sz w:val="21"/>
                <w:szCs w:val="21"/>
              </w:rPr>
            </w:pPr>
          </w:p>
        </w:tc>
      </w:tr>
      <w:tr w:rsidR="008A26FC" w:rsidRPr="0019334B">
        <w:trPr>
          <w:jc w:val="center"/>
        </w:trPr>
        <w:tc>
          <w:tcPr>
            <w:tcW w:w="2880" w:type="dxa"/>
          </w:tcPr>
          <w:p w:rsidR="008A26FC" w:rsidRPr="0019334B" w:rsidRDefault="00844331" w:rsidP="00453EE1">
            <w:pPr>
              <w:rPr>
                <w:b/>
                <w:smallCaps/>
                <w:sz w:val="21"/>
                <w:szCs w:val="21"/>
              </w:rPr>
            </w:pPr>
            <w:r w:rsidRPr="0019334B">
              <w:rPr>
                <w:b/>
                <w:smallCaps/>
                <w:sz w:val="21"/>
                <w:szCs w:val="21"/>
              </w:rPr>
              <w:t>s</w:t>
            </w:r>
            <w:r w:rsidR="008A26FC" w:rsidRPr="0019334B">
              <w:rPr>
                <w:b/>
                <w:smallCaps/>
                <w:sz w:val="21"/>
                <w:szCs w:val="21"/>
              </w:rPr>
              <w:t xml:space="preserve">upports exploités </w:t>
            </w:r>
          </w:p>
        </w:tc>
        <w:tc>
          <w:tcPr>
            <w:tcW w:w="7138" w:type="dxa"/>
          </w:tcPr>
          <w:p w:rsidR="0025698E" w:rsidRPr="0019334B" w:rsidRDefault="0025698E" w:rsidP="0025698E">
            <w:pPr>
              <w:jc w:val="both"/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Annexe 1 : Le fonctionnement de Montpellier agglomération</w:t>
            </w:r>
          </w:p>
          <w:p w:rsidR="0025698E" w:rsidRPr="0019334B" w:rsidRDefault="0025698E" w:rsidP="0025698E">
            <w:pPr>
              <w:jc w:val="both"/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Annexe 2 : Que sont les communautés d’agglomération ?</w:t>
            </w:r>
          </w:p>
          <w:p w:rsidR="0025698E" w:rsidRPr="0019334B" w:rsidRDefault="0025698E" w:rsidP="0025698E">
            <w:pPr>
              <w:jc w:val="both"/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Annexe 3 : Dépenses prévisionnelles pour 2013 de Montpellier Agglomération</w:t>
            </w:r>
          </w:p>
          <w:p w:rsidR="0025698E" w:rsidRPr="0019334B" w:rsidRDefault="0025698E" w:rsidP="0025698E">
            <w:pPr>
              <w:jc w:val="both"/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Annexe 4 : Les atouts de Montpellier Agglomération</w:t>
            </w:r>
          </w:p>
          <w:p w:rsidR="0025698E" w:rsidRPr="0019334B" w:rsidRDefault="0025698E" w:rsidP="0025698E">
            <w:pPr>
              <w:jc w:val="both"/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Annexe 5 : Les chiffres clés de Montpellier Agglomération</w:t>
            </w:r>
          </w:p>
          <w:p w:rsidR="0025698E" w:rsidRPr="0019334B" w:rsidRDefault="0025698E" w:rsidP="0025698E">
            <w:pPr>
              <w:jc w:val="both"/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Annexe 6 : La ligne 5 du tramway sur les rails</w:t>
            </w:r>
          </w:p>
          <w:p w:rsidR="004C73C9" w:rsidRPr="0019334B" w:rsidRDefault="0025698E" w:rsidP="001577ED">
            <w:pPr>
              <w:jc w:val="both"/>
              <w:rPr>
                <w:sz w:val="21"/>
                <w:szCs w:val="21"/>
              </w:rPr>
            </w:pPr>
            <w:r w:rsidRPr="0019334B">
              <w:rPr>
                <w:sz w:val="21"/>
                <w:szCs w:val="21"/>
              </w:rPr>
              <w:t>Annexe 7 : La stratégie « Montpellier  Métropole Numérique »</w:t>
            </w:r>
            <w:bookmarkStart w:id="0" w:name="_GoBack"/>
            <w:bookmarkEnd w:id="0"/>
          </w:p>
        </w:tc>
      </w:tr>
    </w:tbl>
    <w:p w:rsidR="008A26FC" w:rsidRPr="0019334B" w:rsidRDefault="008A26FC" w:rsidP="008A26FC">
      <w:pPr>
        <w:rPr>
          <w:sz w:val="21"/>
          <w:szCs w:val="21"/>
        </w:rPr>
      </w:pPr>
    </w:p>
    <w:sectPr w:rsidR="008A26FC" w:rsidRPr="0019334B" w:rsidSect="001F582B">
      <w:pgSz w:w="11906" w:h="16838" w:code="9"/>
      <w:pgMar w:top="71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B48BF8"/>
    <w:multiLevelType w:val="hybridMultilevel"/>
    <w:tmpl w:val="BF5C6C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A3745"/>
    <w:multiLevelType w:val="hybridMultilevel"/>
    <w:tmpl w:val="17D8FA50"/>
    <w:lvl w:ilvl="0" w:tplc="2BF6E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71597"/>
    <w:multiLevelType w:val="hybridMultilevel"/>
    <w:tmpl w:val="1DC69A46"/>
    <w:lvl w:ilvl="0" w:tplc="C024B6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1C98"/>
    <w:multiLevelType w:val="hybridMultilevel"/>
    <w:tmpl w:val="DE96E28C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C3103"/>
    <w:multiLevelType w:val="hybridMultilevel"/>
    <w:tmpl w:val="84C4DBB8"/>
    <w:lvl w:ilvl="0" w:tplc="73CCC93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80DE"/>
    <w:multiLevelType w:val="hybridMultilevel"/>
    <w:tmpl w:val="9496D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21070DD"/>
    <w:multiLevelType w:val="hybridMultilevel"/>
    <w:tmpl w:val="30B84DEA"/>
    <w:lvl w:ilvl="0" w:tplc="ECEA77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46E7E"/>
    <w:multiLevelType w:val="multilevel"/>
    <w:tmpl w:val="317A91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B3610"/>
    <w:multiLevelType w:val="hybridMultilevel"/>
    <w:tmpl w:val="4F143366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7397F"/>
    <w:multiLevelType w:val="hybridMultilevel"/>
    <w:tmpl w:val="87903286"/>
    <w:lvl w:ilvl="0" w:tplc="3834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04C9D"/>
    <w:multiLevelType w:val="hybridMultilevel"/>
    <w:tmpl w:val="317A9194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B0F2D"/>
    <w:multiLevelType w:val="hybridMultilevel"/>
    <w:tmpl w:val="D0AE21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A26FC"/>
    <w:rsid w:val="000134E2"/>
    <w:rsid w:val="000529A0"/>
    <w:rsid w:val="000918C2"/>
    <w:rsid w:val="000F3BEE"/>
    <w:rsid w:val="00100FBC"/>
    <w:rsid w:val="00116F6D"/>
    <w:rsid w:val="00126557"/>
    <w:rsid w:val="001577ED"/>
    <w:rsid w:val="0016111C"/>
    <w:rsid w:val="00176AE3"/>
    <w:rsid w:val="001826B9"/>
    <w:rsid w:val="0019334B"/>
    <w:rsid w:val="001B2936"/>
    <w:rsid w:val="001C0511"/>
    <w:rsid w:val="001F582B"/>
    <w:rsid w:val="0020771A"/>
    <w:rsid w:val="002148A2"/>
    <w:rsid w:val="00233D1B"/>
    <w:rsid w:val="00240872"/>
    <w:rsid w:val="0025463A"/>
    <w:rsid w:val="002553DD"/>
    <w:rsid w:val="00255C8B"/>
    <w:rsid w:val="0025698E"/>
    <w:rsid w:val="002F1260"/>
    <w:rsid w:val="00305207"/>
    <w:rsid w:val="003616AF"/>
    <w:rsid w:val="0036170F"/>
    <w:rsid w:val="00396057"/>
    <w:rsid w:val="00414E14"/>
    <w:rsid w:val="0045228B"/>
    <w:rsid w:val="00453EE1"/>
    <w:rsid w:val="00485846"/>
    <w:rsid w:val="004C73C9"/>
    <w:rsid w:val="004D0E03"/>
    <w:rsid w:val="004D3555"/>
    <w:rsid w:val="004E1ABC"/>
    <w:rsid w:val="004F5130"/>
    <w:rsid w:val="005037EA"/>
    <w:rsid w:val="00554F73"/>
    <w:rsid w:val="0059137E"/>
    <w:rsid w:val="005A0AAD"/>
    <w:rsid w:val="005B13AD"/>
    <w:rsid w:val="005C0D45"/>
    <w:rsid w:val="005E2C10"/>
    <w:rsid w:val="005E76F0"/>
    <w:rsid w:val="00627427"/>
    <w:rsid w:val="006401F1"/>
    <w:rsid w:val="00646E9D"/>
    <w:rsid w:val="0065430B"/>
    <w:rsid w:val="006845C1"/>
    <w:rsid w:val="00686DCC"/>
    <w:rsid w:val="006910FD"/>
    <w:rsid w:val="006A56B0"/>
    <w:rsid w:val="006F464F"/>
    <w:rsid w:val="00702231"/>
    <w:rsid w:val="00703CFA"/>
    <w:rsid w:val="00706AB3"/>
    <w:rsid w:val="007214CD"/>
    <w:rsid w:val="00735066"/>
    <w:rsid w:val="00740CFB"/>
    <w:rsid w:val="0076464F"/>
    <w:rsid w:val="0077266C"/>
    <w:rsid w:val="007769ED"/>
    <w:rsid w:val="0078176D"/>
    <w:rsid w:val="007A3BEE"/>
    <w:rsid w:val="007D0494"/>
    <w:rsid w:val="007D5ED7"/>
    <w:rsid w:val="007E44B6"/>
    <w:rsid w:val="008023C6"/>
    <w:rsid w:val="00806D19"/>
    <w:rsid w:val="008079C8"/>
    <w:rsid w:val="00812579"/>
    <w:rsid w:val="008251EE"/>
    <w:rsid w:val="008257CF"/>
    <w:rsid w:val="008307FF"/>
    <w:rsid w:val="00844331"/>
    <w:rsid w:val="008603A9"/>
    <w:rsid w:val="00862A12"/>
    <w:rsid w:val="00873D63"/>
    <w:rsid w:val="00896DA6"/>
    <w:rsid w:val="00897971"/>
    <w:rsid w:val="008A165C"/>
    <w:rsid w:val="008A26FC"/>
    <w:rsid w:val="008A7FA4"/>
    <w:rsid w:val="008B7631"/>
    <w:rsid w:val="008D11AE"/>
    <w:rsid w:val="008D5A80"/>
    <w:rsid w:val="008E0664"/>
    <w:rsid w:val="008E5547"/>
    <w:rsid w:val="009119AB"/>
    <w:rsid w:val="00914004"/>
    <w:rsid w:val="009165C9"/>
    <w:rsid w:val="009171D0"/>
    <w:rsid w:val="00943640"/>
    <w:rsid w:val="00963E7C"/>
    <w:rsid w:val="00981CBE"/>
    <w:rsid w:val="00986BE1"/>
    <w:rsid w:val="009A54E8"/>
    <w:rsid w:val="009D18BD"/>
    <w:rsid w:val="009E0E5F"/>
    <w:rsid w:val="009E33F3"/>
    <w:rsid w:val="00A422EE"/>
    <w:rsid w:val="00A66F93"/>
    <w:rsid w:val="00AA1A99"/>
    <w:rsid w:val="00AA1C7C"/>
    <w:rsid w:val="00AA2A09"/>
    <w:rsid w:val="00AA3072"/>
    <w:rsid w:val="00AC3B02"/>
    <w:rsid w:val="00B01A97"/>
    <w:rsid w:val="00B4563C"/>
    <w:rsid w:val="00B86F06"/>
    <w:rsid w:val="00B87AEE"/>
    <w:rsid w:val="00BC17E6"/>
    <w:rsid w:val="00BC4A5A"/>
    <w:rsid w:val="00C14B3C"/>
    <w:rsid w:val="00C21F58"/>
    <w:rsid w:val="00C231C9"/>
    <w:rsid w:val="00C441AC"/>
    <w:rsid w:val="00C54D5D"/>
    <w:rsid w:val="00C60581"/>
    <w:rsid w:val="00C914FE"/>
    <w:rsid w:val="00CA1EAA"/>
    <w:rsid w:val="00CB1680"/>
    <w:rsid w:val="00CD0783"/>
    <w:rsid w:val="00CF0B4B"/>
    <w:rsid w:val="00CF24F3"/>
    <w:rsid w:val="00CF7BA6"/>
    <w:rsid w:val="00D12E69"/>
    <w:rsid w:val="00D32613"/>
    <w:rsid w:val="00D40FC9"/>
    <w:rsid w:val="00D526B3"/>
    <w:rsid w:val="00D60EC1"/>
    <w:rsid w:val="00D81F4F"/>
    <w:rsid w:val="00D96E82"/>
    <w:rsid w:val="00DB06A4"/>
    <w:rsid w:val="00DB1183"/>
    <w:rsid w:val="00DD2828"/>
    <w:rsid w:val="00DD3886"/>
    <w:rsid w:val="00DF2DA7"/>
    <w:rsid w:val="00E112D7"/>
    <w:rsid w:val="00E1578A"/>
    <w:rsid w:val="00E20EB2"/>
    <w:rsid w:val="00E2749E"/>
    <w:rsid w:val="00E615DF"/>
    <w:rsid w:val="00E63F2D"/>
    <w:rsid w:val="00E673CA"/>
    <w:rsid w:val="00E914A3"/>
    <w:rsid w:val="00E926BA"/>
    <w:rsid w:val="00EC23B3"/>
    <w:rsid w:val="00EE2D99"/>
    <w:rsid w:val="00EF7909"/>
    <w:rsid w:val="00F0286C"/>
    <w:rsid w:val="00F04A5E"/>
    <w:rsid w:val="00F11A26"/>
    <w:rsid w:val="00F554A5"/>
    <w:rsid w:val="00F87D91"/>
    <w:rsid w:val="00FA009E"/>
    <w:rsid w:val="00FA127B"/>
    <w:rsid w:val="00FA4C7D"/>
    <w:rsid w:val="00FF592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26FC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8A26FC"/>
    <w:rPr>
      <w:color w:val="FF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4C73C9"/>
    <w:rPr>
      <w:color w:val="0000FF"/>
      <w:u w:val="single"/>
    </w:rPr>
  </w:style>
  <w:style w:type="paragraph" w:customStyle="1" w:styleId="Default">
    <w:name w:val="Default"/>
    <w:rsid w:val="0076464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EE2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2D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E2D99"/>
    <w:rPr>
      <w:sz w:val="16"/>
      <w:szCs w:val="16"/>
    </w:rPr>
  </w:style>
  <w:style w:type="paragraph" w:styleId="Commentaire">
    <w:name w:val="annotation text"/>
    <w:basedOn w:val="Normal"/>
    <w:link w:val="CommentaireCar"/>
    <w:rsid w:val="00EE2D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2D99"/>
  </w:style>
  <w:style w:type="paragraph" w:styleId="Objetducommentaire">
    <w:name w:val="annotation subject"/>
    <w:basedOn w:val="Commentaire"/>
    <w:next w:val="Commentaire"/>
    <w:link w:val="ObjetducommentaireCar"/>
    <w:rsid w:val="00EE2D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2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26FC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8A26FC"/>
    <w:rPr>
      <w:color w:val="FF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4C73C9"/>
    <w:rPr>
      <w:color w:val="0000FF"/>
      <w:u w:val="single"/>
    </w:rPr>
  </w:style>
  <w:style w:type="paragraph" w:customStyle="1" w:styleId="Default">
    <w:name w:val="Default"/>
    <w:rsid w:val="0076464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EE2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2D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E2D99"/>
    <w:rPr>
      <w:sz w:val="16"/>
      <w:szCs w:val="16"/>
    </w:rPr>
  </w:style>
  <w:style w:type="paragraph" w:styleId="Commentaire">
    <w:name w:val="annotation text"/>
    <w:basedOn w:val="Normal"/>
    <w:link w:val="CommentaireCar"/>
    <w:rsid w:val="00EE2D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2D99"/>
  </w:style>
  <w:style w:type="paragraph" w:styleId="Objetducommentaire">
    <w:name w:val="annotation subject"/>
    <w:basedOn w:val="Commentaire"/>
    <w:next w:val="Commentaire"/>
    <w:link w:val="ObjetducommentaireCar"/>
    <w:rsid w:val="00EE2D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2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Auteur : Sophie Turconi</vt:lpstr>
    </vt:vector>
  </TitlesOfParts>
  <Company>EN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Auteur : Sophie Turconi</dc:title>
  <dc:creator>Mustapha DAOUDI</dc:creator>
  <cp:lastModifiedBy>DUCROU</cp:lastModifiedBy>
  <cp:revision>11</cp:revision>
  <dcterms:created xsi:type="dcterms:W3CDTF">2013-09-28T17:05:00Z</dcterms:created>
  <dcterms:modified xsi:type="dcterms:W3CDTF">2013-12-01T19:56:00Z</dcterms:modified>
</cp:coreProperties>
</file>