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88" w:rsidRDefault="00E07988" w:rsidP="00E07988">
      <w:pPr>
        <w:jc w:val="both"/>
      </w:pPr>
    </w:p>
    <w:p w:rsidR="00FD4F5D" w:rsidRDefault="00FD4F5D" w:rsidP="00FD4F5D">
      <w:pPr>
        <w:rPr>
          <w:b/>
        </w:rPr>
      </w:pPr>
    </w:p>
    <w:p w:rsidR="00E07988" w:rsidRPr="00FD4F5D" w:rsidRDefault="00340518" w:rsidP="00FD4F5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16" w:color="548DD4" w:themeColor="text2" w:themeTint="99"/>
        </w:pBdr>
        <w:rPr>
          <w:b/>
        </w:rPr>
      </w:pPr>
      <w:r w:rsidRPr="00340518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9.4pt;margin-top:6.5pt;width:330.75pt;height:59.95pt;z-index:251658240" stroked="f">
            <v:textbox style="mso-next-textbox:#_x0000_s1026">
              <w:txbxContent>
                <w:p w:rsidR="00FD4F5D" w:rsidRDefault="00E84D2C" w:rsidP="00FD4F5D">
                  <w:pPr>
                    <w:rPr>
                      <w:b/>
                      <w:color w:val="548DD4" w:themeColor="text2" w:themeTint="99"/>
                      <w:sz w:val="32"/>
                      <w:szCs w:val="32"/>
                    </w:rPr>
                  </w:pPr>
                  <w:r>
                    <w:rPr>
                      <w:b/>
                      <w:color w:val="548DD4" w:themeColor="text2" w:themeTint="99"/>
                      <w:sz w:val="32"/>
                      <w:szCs w:val="32"/>
                    </w:rPr>
                    <w:t>CABINET D’EXPERTISE</w:t>
                  </w:r>
                  <w:r w:rsidR="00FD4F5D" w:rsidRPr="00437D1B">
                    <w:rPr>
                      <w:b/>
                      <w:color w:val="548DD4" w:themeColor="text2" w:themeTint="99"/>
                      <w:sz w:val="32"/>
                      <w:szCs w:val="32"/>
                    </w:rPr>
                    <w:t xml:space="preserve"> C</w:t>
                  </w:r>
                  <w:r w:rsidR="00FD4F5D">
                    <w:rPr>
                      <w:b/>
                      <w:color w:val="548DD4" w:themeColor="text2" w:themeTint="99"/>
                      <w:sz w:val="32"/>
                      <w:szCs w:val="32"/>
                    </w:rPr>
                    <w:t>OMPTABLE CARANCLE</w:t>
                  </w:r>
                </w:p>
                <w:p w:rsidR="00FD4F5D" w:rsidRPr="00437D1B" w:rsidRDefault="00FD4F5D" w:rsidP="00FD4F5D">
                  <w:pPr>
                    <w:rPr>
                      <w:b/>
                      <w:color w:val="548DD4" w:themeColor="text2" w:themeTint="99"/>
                      <w:sz w:val="32"/>
                      <w:szCs w:val="32"/>
                    </w:rPr>
                  </w:pPr>
                  <w:r>
                    <w:rPr>
                      <w:b/>
                      <w:color w:val="548DD4" w:themeColor="text2" w:themeTint="99"/>
                      <w:sz w:val="32"/>
                      <w:szCs w:val="32"/>
                    </w:rPr>
                    <w:t>Contexte organisationnel</w:t>
                  </w:r>
                </w:p>
              </w:txbxContent>
            </v:textbox>
          </v:shape>
        </w:pict>
      </w:r>
      <w:r w:rsidR="00FD4F5D" w:rsidRPr="00702BD6">
        <w:rPr>
          <w:b/>
          <w:noProof/>
          <w:lang w:eastAsia="fr-FR"/>
        </w:rPr>
        <w:drawing>
          <wp:inline distT="0" distB="0" distL="0" distR="0">
            <wp:extent cx="1504950" cy="866775"/>
            <wp:effectExtent l="19050" t="0" r="0" b="0"/>
            <wp:docPr id="4" name="il_fi" descr="http://www.entryexpertise.com/public/cabinet-expert-comp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tryexpertise.com/public/cabinet-expert-comptab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F5D" w:rsidRPr="00FD4F5D" w:rsidRDefault="00FD4F5D" w:rsidP="00E07988">
      <w:pPr>
        <w:jc w:val="both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Historique</w:t>
      </w:r>
    </w:p>
    <w:p w:rsidR="00E07988" w:rsidRDefault="00E07988" w:rsidP="009D582C">
      <w:pPr>
        <w:jc w:val="both"/>
      </w:pPr>
      <w:r>
        <w:t>Le cabinet d’expertise-comptable CARANCLE a été fondé en 1990 par trois jeunes experts- comptables aux compétences complémentaires sur les plans technique, informatique et commercial : Caroline LESCURE, Antoine GERBIER et Clémence MARIN. Les deux premières années, ils ont réalisé de la sous-traitance pour les  cabinets, dans lesquels ils étaient salariés auparavant. Ils ont aussi commencé à développer leur propre clientèle. En 1993, ils ont racheté un cabinet, comprenant 5 collaborateurs. Le rachat de ce cabinet, et notamment de son fonds de commerce, leur a permis d’élargir leur clientèle de manière significative. Grâce à la qualité du travai</w:t>
      </w:r>
      <w:r w:rsidR="002F0158">
        <w:t>l réalisé, le cabinet a acquis une solide réputation, et cela lui a permis de se développer de manière importante. Le cabinet s’est notamment spécialisé</w:t>
      </w:r>
      <w:r>
        <w:t xml:space="preserve"> dans la clientèle des notaires. Durant les dix dernières années, quatre jeunes chefs de mission du cabinet, experts- comptables diplômés, sont devenus associés de CARANCLE.</w:t>
      </w:r>
      <w:r w:rsidR="005F5862">
        <w:t xml:space="preserve"> Il s’agit de Sofia BAROUK, Carmen F</w:t>
      </w:r>
      <w:r w:rsidR="00F40D62">
        <w:t>ERNANDEZ, Louis LEGAT et Florentine</w:t>
      </w:r>
      <w:r w:rsidR="005F5862">
        <w:t xml:space="preserve"> WALK.</w:t>
      </w:r>
      <w:r>
        <w:t xml:space="preserve"> </w:t>
      </w:r>
    </w:p>
    <w:p w:rsidR="00FD4F5D" w:rsidRPr="001B4C4A" w:rsidRDefault="001B4C4A" w:rsidP="00E07988">
      <w:pPr>
        <w:jc w:val="both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Le cabinet actuel</w:t>
      </w:r>
    </w:p>
    <w:p w:rsidR="00E07988" w:rsidRDefault="00E07988" w:rsidP="00E07988">
      <w:pPr>
        <w:jc w:val="both"/>
      </w:pPr>
      <w:r>
        <w:t>Aujourd’hui, CARANCLE est une SAS au capital de 500 000 €.  50 personnes travaillent pour le cabinet (7 associés, 3 assistantes de direction, 10 chefs de mission, 30 collaborateurs). Les membres de l’organisation travaillent sur deux sites : l’un situé à Lyon,</w:t>
      </w:r>
      <w:r w:rsidR="005F5862">
        <w:t xml:space="preserve"> </w:t>
      </w:r>
      <w:r w:rsidR="001422BE">
        <w:t>5</w:t>
      </w:r>
      <w:r w:rsidR="005F5862">
        <w:t>8</w:t>
      </w:r>
      <w:r>
        <w:t xml:space="preserve"> rue Pierre Dupont. L’autre situé à Saint-Etienne,</w:t>
      </w:r>
      <w:r w:rsidR="005F5862">
        <w:t xml:space="preserve"> 6 avenue </w:t>
      </w:r>
      <w:proofErr w:type="spellStart"/>
      <w:r w:rsidR="005F5862">
        <w:t>Grüner</w:t>
      </w:r>
      <w:proofErr w:type="spellEnd"/>
      <w:r w:rsidR="005F5862">
        <w:t>.</w:t>
      </w:r>
    </w:p>
    <w:p w:rsidR="00E07988" w:rsidRDefault="00E07988" w:rsidP="00E07988">
      <w:pPr>
        <w:jc w:val="both"/>
      </w:pPr>
      <w:r>
        <w:t>En 2013, le chiffre d’affaires du cabinet s’élève à 4 625 414 €. Son résultat net s’élève à 136 968 €.</w:t>
      </w:r>
    </w:p>
    <w:p w:rsidR="001B4C4A" w:rsidRPr="001B4C4A" w:rsidRDefault="001B4C4A" w:rsidP="00E07988">
      <w:pPr>
        <w:jc w:val="both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L’offre du cabinet</w:t>
      </w:r>
    </w:p>
    <w:p w:rsidR="00E07988" w:rsidRDefault="00E07988" w:rsidP="00E07988">
      <w:pPr>
        <w:jc w:val="both"/>
      </w:pPr>
      <w:r>
        <w:t>Le cabinet réalise deux types de missions :</w:t>
      </w:r>
    </w:p>
    <w:p w:rsidR="00E07988" w:rsidRDefault="00E07988" w:rsidP="00E07988">
      <w:pPr>
        <w:pStyle w:val="Paragraphedeliste"/>
        <w:numPr>
          <w:ilvl w:val="0"/>
          <w:numId w:val="1"/>
        </w:numPr>
        <w:jc w:val="both"/>
      </w:pPr>
      <w:r>
        <w:t>Des missions traditionnelles (70% de son activité) ;</w:t>
      </w:r>
    </w:p>
    <w:p w:rsidR="00E07988" w:rsidRDefault="00E07988" w:rsidP="00E07988">
      <w:pPr>
        <w:pStyle w:val="Paragraphedeliste"/>
        <w:numPr>
          <w:ilvl w:val="0"/>
          <w:numId w:val="1"/>
        </w:numPr>
        <w:jc w:val="both"/>
      </w:pPr>
      <w:r>
        <w:t>Des missions exceptionnelles (30% de son activité).</w:t>
      </w:r>
    </w:p>
    <w:p w:rsidR="00E07988" w:rsidRDefault="00E07988" w:rsidP="00E07988">
      <w:pPr>
        <w:jc w:val="both"/>
      </w:pPr>
      <w:r>
        <w:t>Les missions traditionnelles concernent :</w:t>
      </w:r>
    </w:p>
    <w:p w:rsidR="00E07988" w:rsidRDefault="00E07988" w:rsidP="00E07988">
      <w:pPr>
        <w:pStyle w:val="Paragraphedeliste"/>
        <w:numPr>
          <w:ilvl w:val="0"/>
          <w:numId w:val="1"/>
        </w:numPr>
        <w:jc w:val="both"/>
      </w:pPr>
      <w:r>
        <w:t>Les missions de commissariat aux comptes (missions légales de contrôle des comptes dans le respect des normes d’exercice professionnel),</w:t>
      </w:r>
    </w:p>
    <w:p w:rsidR="00E07988" w:rsidRDefault="00E07988" w:rsidP="00E07988">
      <w:pPr>
        <w:pStyle w:val="Paragraphedeliste"/>
        <w:numPr>
          <w:ilvl w:val="0"/>
          <w:numId w:val="1"/>
        </w:numPr>
        <w:jc w:val="both"/>
      </w:pPr>
      <w:r>
        <w:t>Les missions d’expertise- comptables traditionnelles (tenue des comptes, révisions des comptes, établissement des déclarations fiscales, établissement des liasses fiscales, établissement des comptes annuels (bilan, compte de résultat, annexes)).</w:t>
      </w:r>
    </w:p>
    <w:p w:rsidR="001B4C4A" w:rsidRDefault="001B4C4A" w:rsidP="001B4C4A">
      <w:pPr>
        <w:jc w:val="both"/>
      </w:pPr>
    </w:p>
    <w:p w:rsidR="00E07988" w:rsidRDefault="00E07988" w:rsidP="00E07988">
      <w:pPr>
        <w:jc w:val="both"/>
      </w:pPr>
      <w:r>
        <w:lastRenderedPageBreak/>
        <w:t>Les missions exceptionnelles concernent :</w:t>
      </w:r>
    </w:p>
    <w:p w:rsidR="00E07988" w:rsidRDefault="00E07988" w:rsidP="00E07988">
      <w:pPr>
        <w:pStyle w:val="Paragraphedeliste"/>
        <w:numPr>
          <w:ilvl w:val="0"/>
          <w:numId w:val="1"/>
        </w:numPr>
        <w:jc w:val="both"/>
      </w:pPr>
      <w:r>
        <w:t>Des missions liées à la fiscalité (ex. missions de gestion de patrimoine, missions d’optimisation fiscale) ;</w:t>
      </w:r>
    </w:p>
    <w:p w:rsidR="00E07988" w:rsidRDefault="00E07988" w:rsidP="00E07988">
      <w:pPr>
        <w:pStyle w:val="Paragraphedeliste"/>
        <w:numPr>
          <w:ilvl w:val="0"/>
          <w:numId w:val="1"/>
        </w:numPr>
        <w:jc w:val="both"/>
      </w:pPr>
      <w:r>
        <w:t xml:space="preserve"> Des missions dans le domaine social (ex. conseils sur les démarches à suivre  en cas de licenciements) ;</w:t>
      </w:r>
    </w:p>
    <w:p w:rsidR="00E07988" w:rsidRDefault="00E07988" w:rsidP="00E07988">
      <w:pPr>
        <w:pStyle w:val="Paragraphedeliste"/>
        <w:numPr>
          <w:ilvl w:val="0"/>
          <w:numId w:val="1"/>
        </w:numPr>
        <w:jc w:val="both"/>
      </w:pPr>
      <w:r>
        <w:t>Des missions juridiques (ex. élaboration de statuts en cas de constitution d’une société).</w:t>
      </w:r>
    </w:p>
    <w:p w:rsidR="009D1CE9" w:rsidRPr="001B4C4A" w:rsidRDefault="005F5862" w:rsidP="001B4C4A">
      <w:pPr>
        <w:jc w:val="both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De</w:t>
      </w:r>
      <w:r w:rsidR="001B4C4A">
        <w:rPr>
          <w:b/>
          <w:color w:val="548DD4" w:themeColor="text2" w:themeTint="99"/>
          <w:sz w:val="28"/>
          <w:szCs w:val="28"/>
        </w:rPr>
        <w:t xml:space="preserve"> nouveaux défis à affronter</w:t>
      </w:r>
    </w:p>
    <w:p w:rsidR="009D1CE9" w:rsidRDefault="009D1CE9" w:rsidP="001B4C4A">
      <w:r>
        <w:t xml:space="preserve"> Les comptes annuels (bilan, compte de résultat, annexe) du cabinet viennent d’être établis pour l’exercice 2013. Le bénéfice est en forte chute par rapport à l’exercice précédent. La situation est particulièrement préoccupante car la dégradation du résultat net provient en grande partie de la dégradation du résultat d’exploitation. Le résultat d’exploitation découle de l’activité courante d</w:t>
      </w:r>
      <w:r w:rsidR="00F9014E">
        <w:t>u cabinet</w:t>
      </w:r>
      <w:r>
        <w:t>. Les associés souhaitent analyser les causes de cette dégradation afin de mettre en place une stratégie pour rétablir la profitabilité et la rentabilité du cabinet.</w:t>
      </w:r>
    </w:p>
    <w:p w:rsidR="00CD6708" w:rsidRDefault="00CD6708"/>
    <w:sectPr w:rsidR="00CD6708" w:rsidSect="00CD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466FC"/>
    <w:multiLevelType w:val="hybridMultilevel"/>
    <w:tmpl w:val="E0C69584"/>
    <w:lvl w:ilvl="0" w:tplc="B900BE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07988"/>
    <w:rsid w:val="000E568A"/>
    <w:rsid w:val="001422BE"/>
    <w:rsid w:val="001B4C4A"/>
    <w:rsid w:val="00223FAA"/>
    <w:rsid w:val="002F0158"/>
    <w:rsid w:val="00340518"/>
    <w:rsid w:val="003B788E"/>
    <w:rsid w:val="00491E6E"/>
    <w:rsid w:val="005774EC"/>
    <w:rsid w:val="005C246E"/>
    <w:rsid w:val="005F5862"/>
    <w:rsid w:val="0067017A"/>
    <w:rsid w:val="00912526"/>
    <w:rsid w:val="0093548C"/>
    <w:rsid w:val="009D1CE9"/>
    <w:rsid w:val="009D582C"/>
    <w:rsid w:val="00BB7253"/>
    <w:rsid w:val="00C17A95"/>
    <w:rsid w:val="00CD6708"/>
    <w:rsid w:val="00E07988"/>
    <w:rsid w:val="00E84D2C"/>
    <w:rsid w:val="00F40D62"/>
    <w:rsid w:val="00F9014E"/>
    <w:rsid w:val="00FD471E"/>
    <w:rsid w:val="00FD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79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E0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6</cp:revision>
  <dcterms:created xsi:type="dcterms:W3CDTF">2014-02-18T17:39:00Z</dcterms:created>
  <dcterms:modified xsi:type="dcterms:W3CDTF">2014-02-27T20:05:00Z</dcterms:modified>
</cp:coreProperties>
</file>