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C9" w:rsidRPr="00B8648C" w:rsidRDefault="00093607" w:rsidP="00B8648C">
      <w:pPr>
        <w:jc w:val="center"/>
        <w:rPr>
          <w:b/>
          <w:sz w:val="32"/>
        </w:rPr>
      </w:pPr>
      <w:bookmarkStart w:id="0" w:name="_Toc212608266"/>
      <w:r w:rsidRPr="00B8648C">
        <w:rPr>
          <w:b/>
          <w:sz w:val="32"/>
        </w:rPr>
        <w:t>La société française face au risque : de la fatalité au refus</w:t>
      </w:r>
      <w:bookmarkEnd w:id="0"/>
    </w:p>
    <w:p w:rsidR="00137B2B" w:rsidRDefault="00137B2B" w:rsidP="00557F18">
      <w:pPr>
        <w:spacing w:line="240" w:lineRule="auto"/>
        <w:rPr>
          <w:i/>
        </w:rPr>
      </w:pPr>
    </w:p>
    <w:p w:rsidR="00B8648C" w:rsidRPr="00137B2B" w:rsidRDefault="00137B2B" w:rsidP="00557F18">
      <w:pPr>
        <w:spacing w:line="240" w:lineRule="auto"/>
      </w:pPr>
      <w:r w:rsidRPr="00137B2B">
        <w:rPr>
          <w:b/>
        </w:rPr>
        <w:t>Marc Mousli</w:t>
      </w:r>
      <w:r>
        <w:rPr>
          <w:b/>
        </w:rPr>
        <w:t xml:space="preserve"> </w:t>
      </w:r>
      <w:r>
        <w:rPr>
          <w:rStyle w:val="Marquenotebasdepage"/>
        </w:rPr>
        <w:footnoteReference w:id="-1"/>
      </w:r>
    </w:p>
    <w:p w:rsidR="00137B2B" w:rsidRPr="00137B2B" w:rsidRDefault="00137B2B" w:rsidP="00137B2B">
      <w:pPr>
        <w:spacing w:line="240" w:lineRule="auto"/>
      </w:pPr>
      <w:r w:rsidRPr="00137B2B">
        <w:t>23/10/2012</w:t>
      </w:r>
    </w:p>
    <w:p w:rsidR="00137B2B" w:rsidRDefault="00137B2B" w:rsidP="00B8648C">
      <w:pPr>
        <w:spacing w:line="240" w:lineRule="auto"/>
        <w:ind w:left="708"/>
        <w:rPr>
          <w:i/>
        </w:rPr>
      </w:pPr>
    </w:p>
    <w:p w:rsidR="00B8648C" w:rsidRDefault="009D3D4B" w:rsidP="00B8648C">
      <w:pPr>
        <w:spacing w:line="240" w:lineRule="auto"/>
        <w:ind w:left="708"/>
        <w:rPr>
          <w:i/>
        </w:rPr>
      </w:pPr>
      <w:r>
        <w:rPr>
          <w:i/>
        </w:rPr>
        <w:t xml:space="preserve">Cet article retrace succinctement </w:t>
      </w:r>
      <w:r w:rsidR="00137B2B">
        <w:rPr>
          <w:i/>
        </w:rPr>
        <w:t>l’évolution des</w:t>
      </w:r>
      <w:r w:rsidR="00EF32D4" w:rsidRPr="00093607">
        <w:rPr>
          <w:i/>
        </w:rPr>
        <w:t xml:space="preserve"> attitudes </w:t>
      </w:r>
      <w:r w:rsidR="00137B2B">
        <w:rPr>
          <w:i/>
        </w:rPr>
        <w:t>de</w:t>
      </w:r>
      <w:r w:rsidR="006428EA" w:rsidRPr="00093607">
        <w:rPr>
          <w:i/>
        </w:rPr>
        <w:t xml:space="preserve"> la société</w:t>
      </w:r>
      <w:r w:rsidR="003E1D78" w:rsidRPr="00093607">
        <w:rPr>
          <w:i/>
        </w:rPr>
        <w:t xml:space="preserve"> française</w:t>
      </w:r>
      <w:r w:rsidR="00137B2B" w:rsidRPr="00137B2B">
        <w:rPr>
          <w:i/>
        </w:rPr>
        <w:t xml:space="preserve"> </w:t>
      </w:r>
      <w:r w:rsidR="00137B2B" w:rsidRPr="00093607">
        <w:rPr>
          <w:i/>
        </w:rPr>
        <w:t>face aux risques</w:t>
      </w:r>
      <w:r w:rsidR="006428EA" w:rsidRPr="00093607">
        <w:rPr>
          <w:i/>
        </w:rPr>
        <w:t xml:space="preserve">, </w:t>
      </w:r>
      <w:r w:rsidR="00137B2B">
        <w:rPr>
          <w:i/>
        </w:rPr>
        <w:t>en s’appuyant sur</w:t>
      </w:r>
      <w:r w:rsidR="006428EA" w:rsidRPr="00093607">
        <w:rPr>
          <w:i/>
        </w:rPr>
        <w:t xml:space="preserve"> que</w:t>
      </w:r>
      <w:r w:rsidR="001723C5" w:rsidRPr="00093607">
        <w:rPr>
          <w:i/>
        </w:rPr>
        <w:t>lques repères historiques choisi</w:t>
      </w:r>
      <w:r w:rsidR="00137B2B">
        <w:rPr>
          <w:i/>
        </w:rPr>
        <w:t xml:space="preserve">s principalement </w:t>
      </w:r>
      <w:r w:rsidR="001723C5" w:rsidRPr="00093607">
        <w:rPr>
          <w:i/>
        </w:rPr>
        <w:t>dans le monde du travail.</w:t>
      </w:r>
      <w:r>
        <w:rPr>
          <w:i/>
        </w:rPr>
        <w:t xml:space="preserve"> Il se conclut </w:t>
      </w:r>
      <w:r w:rsidR="00EF0ED6" w:rsidRPr="00093607">
        <w:rPr>
          <w:i/>
        </w:rPr>
        <w:t xml:space="preserve">par </w:t>
      </w:r>
      <w:r w:rsidR="006428EA" w:rsidRPr="00093607">
        <w:rPr>
          <w:i/>
        </w:rPr>
        <w:t xml:space="preserve">un exemple </w:t>
      </w:r>
      <w:r w:rsidR="00137B2B">
        <w:rPr>
          <w:i/>
        </w:rPr>
        <w:t>pris</w:t>
      </w:r>
      <w:r>
        <w:rPr>
          <w:i/>
        </w:rPr>
        <w:t xml:space="preserve"> </w:t>
      </w:r>
      <w:r w:rsidR="00093607">
        <w:rPr>
          <w:i/>
        </w:rPr>
        <w:t>hors de France</w:t>
      </w:r>
      <w:r w:rsidR="001723C5" w:rsidRPr="00093607">
        <w:rPr>
          <w:i/>
        </w:rPr>
        <w:t xml:space="preserve">, </w:t>
      </w:r>
      <w:r w:rsidR="00DE1232">
        <w:rPr>
          <w:i/>
        </w:rPr>
        <w:t>montrant</w:t>
      </w:r>
      <w:r w:rsidR="006428EA" w:rsidRPr="00093607">
        <w:rPr>
          <w:i/>
        </w:rPr>
        <w:t xml:space="preserve"> l’attitude </w:t>
      </w:r>
      <w:r w:rsidR="00DE1232">
        <w:rPr>
          <w:i/>
        </w:rPr>
        <w:t xml:space="preserve">pragmatique </w:t>
      </w:r>
      <w:r w:rsidR="006428EA" w:rsidRPr="00093607">
        <w:rPr>
          <w:i/>
        </w:rPr>
        <w:t xml:space="preserve">d’une </w:t>
      </w:r>
      <w:r w:rsidR="00EF0ED6" w:rsidRPr="00093607">
        <w:rPr>
          <w:i/>
        </w:rPr>
        <w:t>population</w:t>
      </w:r>
      <w:r w:rsidR="00093607">
        <w:rPr>
          <w:i/>
        </w:rPr>
        <w:t xml:space="preserve"> </w:t>
      </w:r>
      <w:r w:rsidR="00DE1232">
        <w:rPr>
          <w:i/>
        </w:rPr>
        <w:t xml:space="preserve">curieusement sereine </w:t>
      </w:r>
      <w:r w:rsidR="006428EA" w:rsidRPr="00093607">
        <w:rPr>
          <w:i/>
        </w:rPr>
        <w:t>face à un risque majeur</w:t>
      </w:r>
      <w:r w:rsidR="00EF0ED6" w:rsidRPr="00093607">
        <w:rPr>
          <w:i/>
        </w:rPr>
        <w:t>.</w:t>
      </w:r>
    </w:p>
    <w:p w:rsidR="00B8648C" w:rsidRDefault="00B8648C" w:rsidP="00557F18">
      <w:pPr>
        <w:spacing w:line="240" w:lineRule="auto"/>
        <w:rPr>
          <w:rFonts w:asciiTheme="minorHAnsi" w:hAnsiTheme="minorHAnsi"/>
          <w:i/>
          <w:sz w:val="22"/>
          <w:szCs w:val="22"/>
          <w:u w:val="single"/>
        </w:rPr>
      </w:pPr>
    </w:p>
    <w:p w:rsidR="006428EA" w:rsidRPr="000B16D2" w:rsidRDefault="00A10F3A" w:rsidP="00B8648C">
      <w:pPr>
        <w:pStyle w:val="Titre2"/>
      </w:pPr>
      <w:bookmarkStart w:id="1" w:name="_Toc212608267"/>
      <w:bookmarkStart w:id="2" w:name="_Toc212608744"/>
      <w:r w:rsidRPr="000B16D2">
        <w:t xml:space="preserve">Face aux risques </w:t>
      </w:r>
      <w:r w:rsidR="00C54ABC" w:rsidRPr="000B16D2">
        <w:t>de l’existence (ou « risques sociaux »)</w:t>
      </w:r>
      <w:r w:rsidR="00B8648C">
        <w:t xml:space="preserve"> </w:t>
      </w:r>
      <w:r w:rsidRPr="000B16D2">
        <w:t>: de la charité au welfare state</w:t>
      </w:r>
      <w:bookmarkEnd w:id="1"/>
      <w:bookmarkEnd w:id="2"/>
    </w:p>
    <w:p w:rsidR="00694718" w:rsidRDefault="00554F73" w:rsidP="00440BB0">
      <w:pPr>
        <w:pStyle w:val="Titre3"/>
      </w:pPr>
      <w:bookmarkStart w:id="3" w:name="_Toc212608745"/>
      <w:r>
        <w:t>La solidarité familiale, la pitié et la charité</w:t>
      </w:r>
      <w:bookmarkEnd w:id="3"/>
    </w:p>
    <w:p w:rsidR="003E1D78" w:rsidRDefault="00EF32D4">
      <w:r>
        <w:t xml:space="preserve">À la </w:t>
      </w:r>
      <w:r w:rsidR="00E95547">
        <w:t>fin du 18</w:t>
      </w:r>
      <w:r w:rsidR="00E95547" w:rsidRPr="00E95547">
        <w:rPr>
          <w:vertAlign w:val="superscript"/>
        </w:rPr>
        <w:t>e</w:t>
      </w:r>
      <w:r w:rsidR="00E95547">
        <w:t xml:space="preserve"> siècle,</w:t>
      </w:r>
      <w:r>
        <w:t xml:space="preserve"> près de 85% des Français vivent dans des petites communautés rurales, où </w:t>
      </w:r>
      <w:r w:rsidR="006428EA">
        <w:t>la protection contre les risques de la vie, qu’ils soient liés au travail ou n</w:t>
      </w:r>
      <w:r>
        <w:t>on, est affaire de solidarité familiale et de charité</w:t>
      </w:r>
      <w:r w:rsidR="00E95547">
        <w:t xml:space="preserve">, </w:t>
      </w:r>
      <w:r w:rsidR="009D2A33">
        <w:t xml:space="preserve">directe ou organisée par l’Église. </w:t>
      </w:r>
    </w:p>
    <w:p w:rsidR="00137B2B" w:rsidRDefault="00EF32D4">
      <w:r>
        <w:t>Dans les villes, où la soli</w:t>
      </w:r>
      <w:r w:rsidR="00137B2B">
        <w:t>darité est souvent moins facile car</w:t>
      </w:r>
      <w:r>
        <w:t xml:space="preserve"> une partie de la population </w:t>
      </w:r>
      <w:r w:rsidR="00137B2B">
        <w:t>laborieuse est</w:t>
      </w:r>
      <w:r w:rsidR="00E95547">
        <w:t xml:space="preserve"> </w:t>
      </w:r>
      <w:r>
        <w:t xml:space="preserve">coupée de sa famille et de son milieu d’origine, des institutions charitables </w:t>
      </w:r>
      <w:r w:rsidR="00E95547">
        <w:t>s’occupent des plus nécessiteux</w:t>
      </w:r>
      <w:r w:rsidR="00137B2B">
        <w:t>. L</w:t>
      </w:r>
      <w:r w:rsidR="009D2A33">
        <w:t xml:space="preserve">es plus </w:t>
      </w:r>
      <w:r w:rsidR="00137B2B">
        <w:t>puissantes</w:t>
      </w:r>
      <w:r w:rsidR="009D2A33">
        <w:t xml:space="preserve"> sont des œuvres royales</w:t>
      </w:r>
      <w:r w:rsidR="00DE1232">
        <w:t xml:space="preserve"> </w:t>
      </w:r>
      <w:r w:rsidR="00066EF9">
        <w:t>qui</w:t>
      </w:r>
      <w:r w:rsidR="00DE1232">
        <w:t xml:space="preserve"> remontent au Moyen-Âge</w:t>
      </w:r>
      <w:r w:rsidR="001D6E79">
        <w:t xml:space="preserve">. </w:t>
      </w:r>
      <w:r w:rsidR="009D2A33">
        <w:t>S</w:t>
      </w:r>
      <w:r w:rsidR="009D2A33" w:rsidRPr="009D2A33">
        <w:t>aint Louis</w:t>
      </w:r>
      <w:r w:rsidR="001D6E79">
        <w:t xml:space="preserve"> construit </w:t>
      </w:r>
      <w:r w:rsidR="009D2A33">
        <w:t>l</w:t>
      </w:r>
      <w:r w:rsidR="00D21FEA">
        <w:t>’hospice d</w:t>
      </w:r>
      <w:r w:rsidR="009D2A33" w:rsidRPr="009D2A33">
        <w:t>es Quinze-Vingts</w:t>
      </w:r>
      <w:r w:rsidR="00D21FEA">
        <w:t xml:space="preserve"> en 1260 pour accueillir les aveugles</w:t>
      </w:r>
      <w:r w:rsidR="001D6E79">
        <w:t>,</w:t>
      </w:r>
      <w:r w:rsidR="009D2A33" w:rsidRPr="009D2A33">
        <w:t xml:space="preserve"> François Ier </w:t>
      </w:r>
      <w:r w:rsidR="001D6E79">
        <w:t xml:space="preserve">crée en 1544 </w:t>
      </w:r>
      <w:r w:rsidR="001D6E79" w:rsidRPr="001D6E79">
        <w:t xml:space="preserve">le bureau général des pauvres, </w:t>
      </w:r>
      <w:r w:rsidR="001D6E79">
        <w:t xml:space="preserve">ancêtre </w:t>
      </w:r>
      <w:r w:rsidR="001D6E79" w:rsidRPr="001D6E79">
        <w:t>de l’Assistance publique actuelle</w:t>
      </w:r>
      <w:r w:rsidR="001D6E79">
        <w:t xml:space="preserve"> et </w:t>
      </w:r>
      <w:r w:rsidR="001D6E79" w:rsidRPr="001D6E79">
        <w:t xml:space="preserve">chargé de lever sur les </w:t>
      </w:r>
      <w:r w:rsidR="001D6E79">
        <w:t>riches</w:t>
      </w:r>
      <w:r w:rsidR="001D6E79" w:rsidRPr="001D6E79">
        <w:t xml:space="preserve"> une taxe </w:t>
      </w:r>
      <w:r w:rsidR="00137B2B">
        <w:t xml:space="preserve">pour l’entretien </w:t>
      </w:r>
      <w:r w:rsidR="001D6E79" w:rsidRPr="001D6E79">
        <w:t xml:space="preserve">des </w:t>
      </w:r>
      <w:r w:rsidR="001D6E79">
        <w:t>hospices</w:t>
      </w:r>
      <w:r w:rsidR="009C4C45">
        <w:t xml:space="preserve">. </w:t>
      </w:r>
      <w:r w:rsidR="001D6E79">
        <w:t>Louis XIV</w:t>
      </w:r>
      <w:r w:rsidR="009D2A33" w:rsidRPr="009D2A33">
        <w:t xml:space="preserve"> </w:t>
      </w:r>
      <w:r w:rsidR="001D6E79">
        <w:t xml:space="preserve">organise </w:t>
      </w:r>
      <w:r w:rsidR="00137B2B">
        <w:t>l’accueil des miséreux</w:t>
      </w:r>
      <w:r w:rsidR="001D6E79">
        <w:t xml:space="preserve"> </w:t>
      </w:r>
      <w:r w:rsidR="009C4C45">
        <w:t>à l’Hôpital général</w:t>
      </w:r>
      <w:r w:rsidR="009C4C45" w:rsidRPr="009C4C45">
        <w:t xml:space="preserve"> </w:t>
      </w:r>
      <w:r w:rsidR="009C4C45">
        <w:t>et dans de grands hospices et hôpitaux qui combinent dans des proportions variables soins aux malades et hébergement des indigents</w:t>
      </w:r>
      <w:r w:rsidR="001C038B">
        <w:t>, des malades mentaux</w:t>
      </w:r>
      <w:r w:rsidR="009C4C45">
        <w:t xml:space="preserve"> et des marginaux.</w:t>
      </w:r>
    </w:p>
    <w:p w:rsidR="00266896" w:rsidRDefault="00DE1232">
      <w:r>
        <w:t>Toutes ces institutions sont fondées sur le souci de la charité et la volonté de contrôle</w:t>
      </w:r>
      <w:r w:rsidR="00266896">
        <w:t>r des populations instables et gênantes, voire dangereuses</w:t>
      </w:r>
      <w:r w:rsidR="009C4C45">
        <w:t> : « </w:t>
      </w:r>
      <w:r w:rsidR="009C4C45" w:rsidRPr="00266896">
        <w:rPr>
          <w:i/>
        </w:rPr>
        <w:t>empêcher la mendicité et l'oisiveté, comme source de tous les désordres </w:t>
      </w:r>
      <w:r w:rsidR="009C4C45">
        <w:t>»</w:t>
      </w:r>
      <w:r w:rsidR="001C038B">
        <w:rPr>
          <w:rStyle w:val="Marquenotebasdepage"/>
        </w:rPr>
        <w:footnoteReference w:id="0"/>
      </w:r>
      <w:r>
        <w:t xml:space="preserve">. </w:t>
      </w:r>
    </w:p>
    <w:p w:rsidR="00317E91" w:rsidRDefault="00DE1232">
      <w:r>
        <w:t xml:space="preserve">En fait, comme l’écrit Denis Poulot, artisan parisien, jusqu’au milieu du XIXe siècle, </w:t>
      </w:r>
      <w:r w:rsidR="00CF7C69">
        <w:t>« </w:t>
      </w:r>
      <w:r w:rsidR="00CF7C69" w:rsidRPr="00D87E02">
        <w:rPr>
          <w:i/>
        </w:rPr>
        <w:t>Le peuple</w:t>
      </w:r>
      <w:r w:rsidR="00D87E02">
        <w:rPr>
          <w:i/>
        </w:rPr>
        <w:t xml:space="preserve"> </w:t>
      </w:r>
      <w:r w:rsidR="00CF7C69" w:rsidRPr="00D87E02">
        <w:rPr>
          <w:i/>
        </w:rPr>
        <w:t>dans ses peines, dans sa misère, en face des maladies et des accidents de la vie, n’avait qu’un moyen, la pitié, qu’un recours, la charité</w:t>
      </w:r>
      <w:r w:rsidR="00CF7C69">
        <w:t> »</w:t>
      </w:r>
      <w:r w:rsidR="00CF7C69">
        <w:rPr>
          <w:rStyle w:val="Marquenotebasdepage"/>
        </w:rPr>
        <w:footnoteReference w:id="1"/>
      </w:r>
    </w:p>
    <w:p w:rsidR="00E22FE7" w:rsidRDefault="00575BDE" w:rsidP="00440BB0">
      <w:pPr>
        <w:pStyle w:val="Titre3"/>
      </w:pPr>
      <w:bookmarkStart w:id="4" w:name="_Toc212608746"/>
      <w:r>
        <w:t>L</w:t>
      </w:r>
      <w:r w:rsidR="00554F73">
        <w:t xml:space="preserve">a solidarité </w:t>
      </w:r>
      <w:r>
        <w:t xml:space="preserve">ouvrière </w:t>
      </w:r>
      <w:r w:rsidR="00DE1232">
        <w:t>:</w:t>
      </w:r>
      <w:r w:rsidR="00554F73">
        <w:t xml:space="preserve"> sociétés de secours mutuel et </w:t>
      </w:r>
      <w:r>
        <w:t>caisses d’</w:t>
      </w:r>
      <w:r w:rsidR="00E22FE7">
        <w:t>assurances</w:t>
      </w:r>
      <w:bookmarkEnd w:id="4"/>
    </w:p>
    <w:p w:rsidR="00DE1232" w:rsidRDefault="00575BDE">
      <w:r>
        <w:t xml:space="preserve">Au milieu du XIXe siècle, </w:t>
      </w:r>
      <w:r w:rsidR="009D2A33">
        <w:t>les ouvriers</w:t>
      </w:r>
      <w:r w:rsidR="00D87E02">
        <w:t xml:space="preserve"> ne </w:t>
      </w:r>
      <w:r w:rsidR="00266896">
        <w:t>veulent plus dépendre</w:t>
      </w:r>
      <w:r w:rsidR="009D2A33">
        <w:t xml:space="preserve"> </w:t>
      </w:r>
      <w:r w:rsidR="00D87E02">
        <w:t>de « </w:t>
      </w:r>
      <w:r w:rsidR="00D87E02" w:rsidRPr="00D87E02">
        <w:rPr>
          <w:i/>
        </w:rPr>
        <w:t>la pitié et la charité </w:t>
      </w:r>
      <w:r w:rsidR="00D87E02">
        <w:t>»</w:t>
      </w:r>
      <w:r w:rsidR="00266896">
        <w:t>. L</w:t>
      </w:r>
      <w:r w:rsidR="009D2A33">
        <w:t xml:space="preserve">es sociétés de secours mutuel traduisent dans les faits la solidarité </w:t>
      </w:r>
      <w:r w:rsidR="00266896">
        <w:t>des classes laborieuses</w:t>
      </w:r>
      <w:r w:rsidR="00D87E02">
        <w:t xml:space="preserve">. </w:t>
      </w:r>
      <w:r>
        <w:t xml:space="preserve">Moyennant une modeste cotisation, elles aident leurs adhérents en cas de maladie ou de décès et leur versent </w:t>
      </w:r>
      <w:r w:rsidR="00266896">
        <w:t xml:space="preserve">même </w:t>
      </w:r>
      <w:r>
        <w:t>une pension de retraite qua</w:t>
      </w:r>
      <w:r w:rsidR="00066EF9">
        <w:t>nd elles en ont les moyens. Le S</w:t>
      </w:r>
      <w:r>
        <w:t>econd Empire les aide, avec là encore</w:t>
      </w:r>
      <w:r w:rsidR="00266896">
        <w:t>, les principes de</w:t>
      </w:r>
      <w:r>
        <w:t xml:space="preserve"> cha</w:t>
      </w:r>
      <w:r w:rsidR="00266896">
        <w:t>rité et la volonté de contrôle social</w:t>
      </w:r>
      <w:r>
        <w:t>.</w:t>
      </w:r>
    </w:p>
    <w:p w:rsidR="00575BDE" w:rsidRDefault="003F13A4">
      <w:r>
        <w:t>D</w:t>
      </w:r>
      <w:r w:rsidR="00575BDE">
        <w:t>ans le dernier tiers du XIX</w:t>
      </w:r>
      <w:r w:rsidR="009D2A33" w:rsidRPr="00317E91">
        <w:rPr>
          <w:vertAlign w:val="superscript"/>
        </w:rPr>
        <w:t>e</w:t>
      </w:r>
      <w:r w:rsidR="009D2A33">
        <w:t xml:space="preserve"> siècle, </w:t>
      </w:r>
      <w:r>
        <w:t>le mutualisme se développe et l’</w:t>
      </w:r>
      <w:r w:rsidRPr="00066EF9">
        <w:rPr>
          <w:caps/>
        </w:rPr>
        <w:t>é</w:t>
      </w:r>
      <w:r>
        <w:t xml:space="preserve">tat </w:t>
      </w:r>
      <w:r w:rsidR="00066EF9">
        <w:t>lui emboîte le pas en</w:t>
      </w:r>
      <w:r w:rsidR="00266896">
        <w:t xml:space="preserve"> </w:t>
      </w:r>
      <w:proofErr w:type="spellStart"/>
      <w:r w:rsidR="00066EF9">
        <w:t>légifèrant</w:t>
      </w:r>
      <w:proofErr w:type="spellEnd"/>
      <w:r>
        <w:t xml:space="preserve"> pour renforce</w:t>
      </w:r>
      <w:r w:rsidR="00266896">
        <w:t>r</w:t>
      </w:r>
      <w:r>
        <w:t xml:space="preserve"> la protection contre l</w:t>
      </w:r>
      <w:r w:rsidR="00317E91">
        <w:t xml:space="preserve">es conséquences des risques auxquels sont exposés les </w:t>
      </w:r>
      <w:r>
        <w:t>ouvriers</w:t>
      </w:r>
      <w:r w:rsidR="007D5BB6">
        <w:t xml:space="preserve"> dans les manufactures</w:t>
      </w:r>
      <w:r w:rsidR="00317E91">
        <w:t xml:space="preserve">. En 1868, sont créées les premières caisses d’assurance contre les accidents du travail. </w:t>
      </w:r>
      <w:r>
        <w:t xml:space="preserve">Trente ans plus tard, </w:t>
      </w:r>
      <w:r w:rsidR="00317E91">
        <w:t>1898</w:t>
      </w:r>
      <w:r>
        <w:t xml:space="preserve"> est une date importante :</w:t>
      </w:r>
      <w:r w:rsidR="00A82C5D">
        <w:t xml:space="preserve"> une</w:t>
      </w:r>
      <w:r w:rsidR="00317E91">
        <w:t xml:space="preserve"> loi </w:t>
      </w:r>
      <w:r>
        <w:t xml:space="preserve">stipule que sauf preuve contraire tout accident survenu sur les lieux de travail est un accident du travail. Désormais, </w:t>
      </w:r>
      <w:r w:rsidR="00A82C5D">
        <w:t xml:space="preserve">« le fardeau de la preuve » </w:t>
      </w:r>
      <w:r w:rsidR="00266896">
        <w:t>pèse</w:t>
      </w:r>
      <w:r>
        <w:t xml:space="preserve"> sur l’employeur.</w:t>
      </w:r>
      <w:r w:rsidR="00D10F15">
        <w:t xml:space="preserve"> La fatalité </w:t>
      </w:r>
      <w:r w:rsidR="00266896">
        <w:t xml:space="preserve">est rejetée tout comme la pitié et la charité. On entre dans l’ère de la protection et même de la prévention. </w:t>
      </w:r>
    </w:p>
    <w:p w:rsidR="00D10F15" w:rsidRDefault="00575BDE" w:rsidP="00575BDE">
      <w:r>
        <w:t xml:space="preserve"> La </w:t>
      </w:r>
      <w:r w:rsidR="00D10F15">
        <w:t>loi</w:t>
      </w:r>
      <w:r>
        <w:t xml:space="preserve"> de 1898, étend </w:t>
      </w:r>
      <w:r w:rsidR="00D10F15">
        <w:t>la protection des sociétés de secours mutuels</w:t>
      </w:r>
      <w:r>
        <w:t xml:space="preserve"> </w:t>
      </w:r>
      <w:r w:rsidR="00D10F15">
        <w:t>aux femmes (risque</w:t>
      </w:r>
      <w:r>
        <w:t xml:space="preserve"> </w:t>
      </w:r>
      <w:r w:rsidR="00D10F15">
        <w:t xml:space="preserve">de </w:t>
      </w:r>
      <w:r>
        <w:t>maternité</w:t>
      </w:r>
      <w:r w:rsidR="00D10F15">
        <w:t>)</w:t>
      </w:r>
      <w:r>
        <w:t xml:space="preserve"> et </w:t>
      </w:r>
      <w:r w:rsidR="00D10F15">
        <w:t>aux</w:t>
      </w:r>
      <w:r>
        <w:t xml:space="preserve"> enfants (mutuali</w:t>
      </w:r>
      <w:r w:rsidR="00266896">
        <w:t>tés scolaires et maternelles). Et d</w:t>
      </w:r>
      <w:r>
        <w:t xml:space="preserve">ans les sociétés rurales, la liste des secours </w:t>
      </w:r>
      <w:r w:rsidR="00266896">
        <w:t xml:space="preserve">qu’elles peuvent apporter </w:t>
      </w:r>
      <w:r>
        <w:t xml:space="preserve">comprend souvent une aide mutuelle aux travaux agricoles. </w:t>
      </w:r>
    </w:p>
    <w:p w:rsidR="00D10F15" w:rsidRDefault="00D10F15" w:rsidP="00D10F15">
      <w:r>
        <w:t xml:space="preserve">L’étape suivante sera de faire reconnaître que le travail peut rendre malade </w:t>
      </w:r>
      <w:r w:rsidR="00066EF9">
        <w:t xml:space="preserve">même </w:t>
      </w:r>
      <w:r>
        <w:t xml:space="preserve">en l’absence d’accident. </w:t>
      </w:r>
      <w:r w:rsidR="00266896">
        <w:t>En</w:t>
      </w:r>
      <w:r>
        <w:t xml:space="preserve"> 1919</w:t>
      </w:r>
      <w:r w:rsidR="00266896">
        <w:t xml:space="preserve">, </w:t>
      </w:r>
      <w:r>
        <w:t xml:space="preserve">certaines maladies professionnelles seront </w:t>
      </w:r>
      <w:r w:rsidR="00266896">
        <w:t>couvertes par les mêmes caisses d’assurances.</w:t>
      </w:r>
    </w:p>
    <w:p w:rsidR="005B36BE" w:rsidRDefault="00D10F15">
      <w:r>
        <w:t xml:space="preserve">Au fil du </w:t>
      </w:r>
      <w:r w:rsidR="00575BDE">
        <w:t xml:space="preserve">XXe siècle, </w:t>
      </w:r>
      <w:r w:rsidR="00266896">
        <w:t xml:space="preserve">la société française demande à ses représentants d’impliquer de plus en plus </w:t>
      </w:r>
      <w:r w:rsidR="00575BDE">
        <w:t>l’</w:t>
      </w:r>
      <w:r>
        <w:t>État</w:t>
      </w:r>
      <w:r w:rsidR="00575BDE">
        <w:t xml:space="preserve"> dans la protection sociale. </w:t>
      </w:r>
      <w:r w:rsidR="00266896">
        <w:t>Un grand pas est fait a</w:t>
      </w:r>
      <w:r>
        <w:t>vec la création de la Sécurité sociale en 1945</w:t>
      </w:r>
      <w:r w:rsidR="00266896">
        <w:t>. L</w:t>
      </w:r>
      <w:r>
        <w:t>es sociétés de secours mutuel passent au second rang</w:t>
      </w:r>
      <w:r w:rsidR="005B36BE">
        <w:t xml:space="preserve"> </w:t>
      </w:r>
      <w:r w:rsidR="00266896">
        <w:t xml:space="preserve">mais ne sortent pas du paysage : elles </w:t>
      </w:r>
      <w:r w:rsidR="005B36BE">
        <w:t xml:space="preserve">deviennent </w:t>
      </w:r>
      <w:r w:rsidR="00266896">
        <w:t>des « </w:t>
      </w:r>
      <w:r w:rsidR="005B36BE">
        <w:t>sociétés mutualistes</w:t>
      </w:r>
      <w:r w:rsidR="00266896">
        <w:t> »</w:t>
      </w:r>
      <w:r w:rsidR="005B36BE">
        <w:t xml:space="preserve">. On notera qu’elles sont les seules à conserver un fonctionnement </w:t>
      </w:r>
      <w:r w:rsidR="00266896">
        <w:t>assurantiel</w:t>
      </w:r>
      <w:r w:rsidR="005B36BE">
        <w:t xml:space="preserve"> que la sécurité sociale a </w:t>
      </w:r>
      <w:r w:rsidR="00E02C78">
        <w:t xml:space="preserve">largement </w:t>
      </w:r>
      <w:r w:rsidR="005B36BE">
        <w:t>perdu, puisqu</w:t>
      </w:r>
      <w:r w:rsidR="00266896">
        <w:t xml:space="preserve">e d’une part elle </w:t>
      </w:r>
      <w:r w:rsidR="005B36BE">
        <w:t xml:space="preserve">couvre des populations </w:t>
      </w:r>
      <w:r w:rsidR="00266896">
        <w:t xml:space="preserve">ne cotisant pas et </w:t>
      </w:r>
      <w:r w:rsidR="005B36BE">
        <w:t>n’ayant pas de rapport avec le monde du travail</w:t>
      </w:r>
      <w:r w:rsidR="00E02C78">
        <w:t xml:space="preserve"> (Couverture maladie universelle)</w:t>
      </w:r>
      <w:r w:rsidR="005B36BE">
        <w:t xml:space="preserve">, </w:t>
      </w:r>
      <w:r w:rsidR="00E02C78">
        <w:t xml:space="preserve">et que </w:t>
      </w:r>
      <w:r w:rsidR="00266896">
        <w:t xml:space="preserve">d’autre part, </w:t>
      </w:r>
      <w:r w:rsidR="00E02C78">
        <w:t>depuis 1991</w:t>
      </w:r>
      <w:r w:rsidR="00266896">
        <w:t>,</w:t>
      </w:r>
      <w:r w:rsidR="00E02C78">
        <w:t xml:space="preserve"> son</w:t>
      </w:r>
      <w:r w:rsidR="005B36BE">
        <w:t xml:space="preserve"> financement </w:t>
      </w:r>
      <w:r w:rsidR="00E02C78">
        <w:t xml:space="preserve">repose en partie sur d’autres ressources que les cotisations sociales, avec la </w:t>
      </w:r>
      <w:r w:rsidR="005B36BE">
        <w:t xml:space="preserve">CSG. </w:t>
      </w:r>
    </w:p>
    <w:p w:rsidR="009D2A33" w:rsidRDefault="00266896">
      <w:r>
        <w:t>On peut dire qu’en</w:t>
      </w:r>
      <w:r w:rsidR="005B36BE">
        <w:t xml:space="preserve"> ce début du XX</w:t>
      </w:r>
      <w:r w:rsidR="00E02C78">
        <w:t>I</w:t>
      </w:r>
      <w:r w:rsidR="005B36BE">
        <w:t xml:space="preserve">e siècle, l’architecture complexe de la protection sociale </w:t>
      </w:r>
      <w:r>
        <w:t xml:space="preserve">couvre à peu près </w:t>
      </w:r>
      <w:r w:rsidR="005B36BE">
        <w:t>tous les risques</w:t>
      </w:r>
      <w:r w:rsidR="00E02C78">
        <w:t xml:space="preserve">, à un </w:t>
      </w:r>
      <w:r w:rsidR="005B36BE">
        <w:t>niveau élevé</w:t>
      </w:r>
      <w:r>
        <w:t>, même si nous assistons à d’âpres débats sur d</w:t>
      </w:r>
      <w:r w:rsidR="00E02C78">
        <w:t xml:space="preserve">es prestations </w:t>
      </w:r>
      <w:r>
        <w:t xml:space="preserve">dont l’ampleur et le niveau émerveillerait nos ancêtres Sans-culottes. En un peu plus de deux siècles, le chemin parcouru par la société française, de la fatalité à </w:t>
      </w:r>
      <w:r w:rsidR="00E02C78">
        <w:t>l’aversion au risque</w:t>
      </w:r>
      <w:r>
        <w:t>, est remarquable</w:t>
      </w:r>
      <w:r w:rsidR="005B36BE">
        <w:t>.</w:t>
      </w:r>
    </w:p>
    <w:p w:rsidR="00694718" w:rsidRDefault="00E22FE7" w:rsidP="00440BB0">
      <w:pPr>
        <w:pStyle w:val="Titre3"/>
      </w:pPr>
      <w:bookmarkStart w:id="5" w:name="_Toc212608747"/>
      <w:r>
        <w:t>Face au ch</w:t>
      </w:r>
      <w:r w:rsidR="00694718">
        <w:t>ômage</w:t>
      </w:r>
      <w:r>
        <w:t> : de l’assistance à l’assurance</w:t>
      </w:r>
      <w:bookmarkEnd w:id="5"/>
    </w:p>
    <w:p w:rsidR="00224567" w:rsidRDefault="009D2A33" w:rsidP="006511E3">
      <w:r>
        <w:t xml:space="preserve">Le risque particulier qu’est le chômage a longtemps </w:t>
      </w:r>
      <w:r w:rsidR="00554F73">
        <w:t xml:space="preserve">été peu reconnu. Il faut dire qu’il ne se distinguait pas du risque d’accident ou de maladie, puisque dans une société préindustrielle </w:t>
      </w:r>
      <w:r w:rsidR="00266896">
        <w:t>tout</w:t>
      </w:r>
      <w:r w:rsidR="00554F73">
        <w:t xml:space="preserve"> homme valide était censé travailler</w:t>
      </w:r>
      <w:r>
        <w:t xml:space="preserve">. </w:t>
      </w:r>
      <w:r w:rsidR="00554F73">
        <w:t xml:space="preserve">Si le sous-emploi était fréquent, l’absence totale d’activité était </w:t>
      </w:r>
      <w:r w:rsidR="00E02C78">
        <w:t xml:space="preserve">rare, voire </w:t>
      </w:r>
      <w:r w:rsidR="00224567">
        <w:t>réprimée</w:t>
      </w:r>
      <w:r w:rsidR="002B28DB">
        <w:t xml:space="preserve"> (interdiction </w:t>
      </w:r>
      <w:r w:rsidR="00266896">
        <w:t xml:space="preserve">royale </w:t>
      </w:r>
      <w:r w:rsidR="002B28DB">
        <w:t>d’aider les pauvres valides, au XIVe siècle)</w:t>
      </w:r>
      <w:r w:rsidR="00224567">
        <w:t>.</w:t>
      </w:r>
    </w:p>
    <w:p w:rsidR="00066EF9" w:rsidRDefault="00554F73">
      <w:r>
        <w:t xml:space="preserve"> </w:t>
      </w:r>
      <w:r w:rsidR="005C757D">
        <w:t xml:space="preserve">La montée du risque de chômage </w:t>
      </w:r>
      <w:r w:rsidR="00224567">
        <w:t xml:space="preserve">au sens moderne du terme </w:t>
      </w:r>
      <w:r w:rsidR="005C757D">
        <w:t>est indissociable de la progression du travail salarié et de l’urbanisation</w:t>
      </w:r>
      <w:r w:rsidR="00E45D67">
        <w:t>,</w:t>
      </w:r>
      <w:r w:rsidR="005C757D">
        <w:t xml:space="preserve"> qui rend l’ouvrier </w:t>
      </w:r>
      <w:r w:rsidR="00066EF9">
        <w:t>totalement dépendant de son emploi</w:t>
      </w:r>
      <w:r w:rsidR="00E45D67">
        <w:t>.</w:t>
      </w:r>
      <w:r w:rsidR="006511E3">
        <w:t xml:space="preserve"> En effet, j</w:t>
      </w:r>
      <w:r w:rsidR="006511E3" w:rsidRPr="006511E3">
        <w:t xml:space="preserve">usqu’au XIXe siècle, en France comme dans la plupart des pays du monde, </w:t>
      </w:r>
      <w:r w:rsidR="002B28DB" w:rsidRPr="006511E3">
        <w:t xml:space="preserve">les travaux des champs </w:t>
      </w:r>
      <w:r w:rsidR="002B28DB">
        <w:t xml:space="preserve">constituent </w:t>
      </w:r>
      <w:r w:rsidR="00266896">
        <w:t>l’activité principale</w:t>
      </w:r>
      <w:r w:rsidR="006511E3" w:rsidRPr="006511E3">
        <w:t>. À la fin du XVIIIe siècle, plus de 80% de la population française vit dans les campagnes</w:t>
      </w:r>
      <w:r w:rsidR="002B28DB">
        <w:t xml:space="preserve"> et p</w:t>
      </w:r>
      <w:r w:rsidR="006511E3" w:rsidRPr="006511E3">
        <w:t>our ces ruraux, la fabrication de biens divers, la « préindustrie » comme l’appelle Fernand Braudel</w:t>
      </w:r>
      <w:r w:rsidR="006511E3">
        <w:t xml:space="preserve"> (1980)</w:t>
      </w:r>
      <w:r w:rsidR="006511E3" w:rsidRPr="006511E3">
        <w:t xml:space="preserve">, </w:t>
      </w:r>
      <w:r w:rsidR="00A70993">
        <w:t>n’</w:t>
      </w:r>
      <w:r w:rsidR="006511E3" w:rsidRPr="006511E3">
        <w:t xml:space="preserve">est </w:t>
      </w:r>
      <w:r w:rsidR="00A70993">
        <w:t>qu’</w:t>
      </w:r>
      <w:r w:rsidR="006511E3" w:rsidRPr="006511E3">
        <w:t xml:space="preserve">un complément d’activité saisonnier, et </w:t>
      </w:r>
      <w:r w:rsidR="00224567">
        <w:t>les</w:t>
      </w:r>
      <w:r w:rsidR="006511E3" w:rsidRPr="006511E3">
        <w:t xml:space="preserve"> </w:t>
      </w:r>
      <w:r w:rsidR="00224567" w:rsidRPr="006511E3">
        <w:t xml:space="preserve">travaux agricoles </w:t>
      </w:r>
      <w:r w:rsidR="00A70993">
        <w:t>restent</w:t>
      </w:r>
      <w:r w:rsidR="00224567">
        <w:t xml:space="preserve"> prioritaires</w:t>
      </w:r>
      <w:r w:rsidR="006511E3" w:rsidRPr="006511E3">
        <w:t xml:space="preserve">. </w:t>
      </w:r>
      <w:r w:rsidR="00224567">
        <w:t>Les manufactures se vident au moment des moissons et des vendanges.</w:t>
      </w:r>
      <w:r w:rsidR="00066EF9">
        <w:t xml:space="preserve"> Privé du recours au travail des champs, l’ouvrier citadin connaitra la précarité, toujours, et la pauvreté, souvent</w:t>
      </w:r>
    </w:p>
    <w:p w:rsidR="005C757D" w:rsidRDefault="006511E3">
      <w:r w:rsidRPr="006511E3">
        <w:t>.</w:t>
      </w:r>
    </w:p>
    <w:p w:rsidR="00E84360" w:rsidRDefault="00000D15">
      <w:r>
        <w:t xml:space="preserve">C’est </w:t>
      </w:r>
      <w:r w:rsidR="009D2A33">
        <w:t>au début de la guerre de 1914 qu’un</w:t>
      </w:r>
      <w:r w:rsidR="00E84360">
        <w:t xml:space="preserve"> fonds national de chômage </w:t>
      </w:r>
      <w:r w:rsidR="00224567">
        <w:t>est</w:t>
      </w:r>
      <w:r w:rsidR="00694718">
        <w:t xml:space="preserve"> </w:t>
      </w:r>
      <w:r w:rsidR="00224567">
        <w:t>créé</w:t>
      </w:r>
      <w:r>
        <w:t>. Son but est de</w:t>
      </w:r>
      <w:r w:rsidR="00E84360">
        <w:t xml:space="preserve"> pallier les e</w:t>
      </w:r>
      <w:r w:rsidR="00694718">
        <w:t>ffets de la guerre sur l’emploi. I</w:t>
      </w:r>
      <w:r w:rsidR="00224567">
        <w:t>l finance</w:t>
      </w:r>
      <w:r w:rsidR="00E84360">
        <w:t xml:space="preserve"> des caisses mutuelles (syndicales) ou des caisses d’assistance et fonds de chômage </w:t>
      </w:r>
      <w:r w:rsidR="00224567">
        <w:t>mis en place par</w:t>
      </w:r>
      <w:r w:rsidR="00E84360">
        <w:t xml:space="preserve"> les collectivités territoriales (commune</w:t>
      </w:r>
      <w:r w:rsidR="00694718">
        <w:t>s</w:t>
      </w:r>
      <w:r w:rsidR="00E84360">
        <w:t xml:space="preserve"> ou Conseil</w:t>
      </w:r>
      <w:r w:rsidR="00694718">
        <w:t>s généraux</w:t>
      </w:r>
      <w:r w:rsidR="00E84360">
        <w:t>).</w:t>
      </w:r>
      <w:r w:rsidR="00694718">
        <w:t xml:space="preserve"> L’indemnisation </w:t>
      </w:r>
      <w:r w:rsidR="00224567">
        <w:t>est</w:t>
      </w:r>
      <w:r w:rsidR="00694718">
        <w:t xml:space="preserve"> faible et </w:t>
      </w:r>
      <w:r w:rsidR="00224567">
        <w:t>tient</w:t>
      </w:r>
      <w:r w:rsidR="00694718">
        <w:t xml:space="preserve"> de l’assistance, </w:t>
      </w:r>
      <w:r w:rsidR="00A82C5D">
        <w:t>non</w:t>
      </w:r>
      <w:r w:rsidR="00694718">
        <w:t xml:space="preserve"> de l’assurance. </w:t>
      </w:r>
    </w:p>
    <w:p w:rsidR="008D156F" w:rsidRDefault="00B43CD7">
      <w:r>
        <w:t>Il faut attendre</w:t>
      </w:r>
      <w:r w:rsidR="00A82C5D">
        <w:t xml:space="preserve"> </w:t>
      </w:r>
      <w:r w:rsidR="00694718">
        <w:t xml:space="preserve">décembre 1958 </w:t>
      </w:r>
      <w:r>
        <w:t>pour que</w:t>
      </w:r>
      <w:r w:rsidR="00A82C5D">
        <w:t xml:space="preserve"> </w:t>
      </w:r>
      <w:r>
        <w:t>soit</w:t>
      </w:r>
      <w:r w:rsidR="00A82C5D">
        <w:t xml:space="preserve"> créée par la loi une véritable </w:t>
      </w:r>
      <w:r w:rsidR="00694718">
        <w:t>assurance chômage (UNEDIC).</w:t>
      </w:r>
    </w:p>
    <w:p w:rsidR="008D156F" w:rsidRDefault="00D72254" w:rsidP="00440BB0">
      <w:pPr>
        <w:pStyle w:val="Titre3"/>
      </w:pPr>
      <w:bookmarkStart w:id="6" w:name="_Toc212608748"/>
      <w:r>
        <w:t>De l’obligation de remédier à l’ambition de p</w:t>
      </w:r>
      <w:r w:rsidR="00E22FE7">
        <w:t>révenir</w:t>
      </w:r>
      <w:bookmarkEnd w:id="6"/>
      <w:r w:rsidR="00E22FE7">
        <w:t xml:space="preserve"> </w:t>
      </w:r>
    </w:p>
    <w:p w:rsidR="004E31E1" w:rsidRDefault="00B43CD7">
      <w:r>
        <w:t xml:space="preserve">Après avoir </w:t>
      </w:r>
      <w:r w:rsidR="00A70993">
        <w:t>réussi à</w:t>
      </w:r>
      <w:r>
        <w:t xml:space="preserve"> couvrir les risques d’accidents du travail, de maladie professionnelle puis de chômage, </w:t>
      </w:r>
      <w:r w:rsidR="0078569F">
        <w:t xml:space="preserve">la société </w:t>
      </w:r>
      <w:r w:rsidR="00A82C5D">
        <w:t xml:space="preserve">française franchit </w:t>
      </w:r>
      <w:r w:rsidR="00852EBC">
        <w:t>une</w:t>
      </w:r>
      <w:r w:rsidR="00A82C5D">
        <w:t xml:space="preserve"> </w:t>
      </w:r>
      <w:r>
        <w:t>étape</w:t>
      </w:r>
      <w:r w:rsidR="00A82C5D">
        <w:t xml:space="preserve"> important</w:t>
      </w:r>
      <w:r>
        <w:t>e</w:t>
      </w:r>
      <w:r w:rsidRPr="00B43CD7">
        <w:t xml:space="preserve"> </w:t>
      </w:r>
      <w:r>
        <w:t>au m</w:t>
      </w:r>
      <w:r w:rsidRPr="00503FC1">
        <w:t>ilieu du 20</w:t>
      </w:r>
      <w:r w:rsidRPr="00503FC1">
        <w:rPr>
          <w:vertAlign w:val="superscript"/>
        </w:rPr>
        <w:t>e</w:t>
      </w:r>
      <w:r>
        <w:t xml:space="preserve"> siècle</w:t>
      </w:r>
      <w:r w:rsidR="00A82C5D">
        <w:t xml:space="preserve">. Elle </w:t>
      </w:r>
      <w:r w:rsidR="0078569F">
        <w:t>donne aux salariés le</w:t>
      </w:r>
      <w:r>
        <w:t xml:space="preserve"> droit et le</w:t>
      </w:r>
      <w:r w:rsidR="0078569F">
        <w:t xml:space="preserve">s moyens de s’attaquer aux causes des risques et de </w:t>
      </w:r>
      <w:r>
        <w:t>peser sur</w:t>
      </w:r>
      <w:r w:rsidR="00224567">
        <w:t xml:space="preserve"> l’ensemble de</w:t>
      </w:r>
      <w:r w:rsidR="0078569F">
        <w:t xml:space="preserve"> </w:t>
      </w:r>
      <w:r w:rsidR="00224567">
        <w:t>leurs</w:t>
      </w:r>
      <w:r w:rsidR="0078569F">
        <w:t xml:space="preserve"> </w:t>
      </w:r>
      <w:r>
        <w:t>conditions du</w:t>
      </w:r>
      <w:r w:rsidR="0078569F">
        <w:t xml:space="preserve"> travail : hygiène, salubrité et confort des </w:t>
      </w:r>
      <w:r w:rsidR="0078569F" w:rsidRPr="00503FC1">
        <w:t xml:space="preserve">locaux, </w:t>
      </w:r>
      <w:r w:rsidR="0078569F">
        <w:t xml:space="preserve">aménagement des postes de travail et </w:t>
      </w:r>
      <w:r w:rsidR="0078569F" w:rsidRPr="00503FC1">
        <w:t>pénibilité</w:t>
      </w:r>
      <w:r w:rsidR="00A82C5D">
        <w:t>. Le</w:t>
      </w:r>
      <w:r w:rsidR="0078569F">
        <w:t xml:space="preserve"> </w:t>
      </w:r>
      <w:r w:rsidR="00A82C5D">
        <w:t>Comité d’hygiène, de sécurité et des conditions de travail (</w:t>
      </w:r>
      <w:r w:rsidR="0078569F">
        <w:t>CHSCT</w:t>
      </w:r>
      <w:r w:rsidR="00A82C5D">
        <w:t>)</w:t>
      </w:r>
      <w:r w:rsidR="0078569F">
        <w:t xml:space="preserve">, </w:t>
      </w:r>
      <w:r>
        <w:t xml:space="preserve">mis en place en 1947 comme une </w:t>
      </w:r>
      <w:r w:rsidR="0078569F">
        <w:t>simple commission spécialisée du C</w:t>
      </w:r>
      <w:r w:rsidR="00A82C5D">
        <w:t>omité d’établissement (C</w:t>
      </w:r>
      <w:r w:rsidR="0078569F">
        <w:t>E</w:t>
      </w:r>
      <w:r w:rsidR="00A82C5D">
        <w:t>), devie</w:t>
      </w:r>
      <w:r w:rsidR="0078569F">
        <w:t xml:space="preserve">nt en 1982 </w:t>
      </w:r>
      <w:r>
        <w:t>un organisme important</w:t>
      </w:r>
      <w:r w:rsidR="00A82C5D">
        <w:t>, plus puissant au quotidien</w:t>
      </w:r>
      <w:r>
        <w:t xml:space="preserve"> que le</w:t>
      </w:r>
      <w:r w:rsidR="0078569F">
        <w:t xml:space="preserve"> CE</w:t>
      </w:r>
      <w:r w:rsidR="00A82C5D">
        <w:t>, notamment</w:t>
      </w:r>
      <w:r w:rsidR="0078569F">
        <w:t xml:space="preserve"> grâce au droit d’alerte</w:t>
      </w:r>
      <w:r w:rsidR="0078569F">
        <w:rPr>
          <w:rStyle w:val="Marquenotebasdepage"/>
        </w:rPr>
        <w:footnoteReference w:id="2"/>
      </w:r>
      <w:r w:rsidR="0078569F">
        <w:t xml:space="preserve">. </w:t>
      </w:r>
    </w:p>
    <w:p w:rsidR="00EF0ED6" w:rsidRDefault="0078569F">
      <w:r>
        <w:t>Au début du 21</w:t>
      </w:r>
      <w:r w:rsidRPr="0078569F">
        <w:rPr>
          <w:vertAlign w:val="superscript"/>
        </w:rPr>
        <w:t>e</w:t>
      </w:r>
      <w:r>
        <w:t xml:space="preserve"> siècle, </w:t>
      </w:r>
      <w:r w:rsidR="00A70993">
        <w:t xml:space="preserve">après l’accident d’AZF à Toulouse, </w:t>
      </w:r>
      <w:r w:rsidR="00A82C5D">
        <w:t>la mission du CHSCT</w:t>
      </w:r>
      <w:r>
        <w:t xml:space="preserve"> est éten</w:t>
      </w:r>
      <w:r w:rsidR="00A70993">
        <w:t>due aux risques technologiques</w:t>
      </w:r>
      <w:r>
        <w:t xml:space="preserve"> et aux risques psychosociaux (harcèlement, </w:t>
      </w:r>
      <w:r w:rsidR="00B43CD7">
        <w:t>stress)</w:t>
      </w:r>
      <w:r>
        <w:t>.</w:t>
      </w:r>
      <w:r w:rsidR="00B43CD7">
        <w:t xml:space="preserve"> Un</w:t>
      </w:r>
      <w:r w:rsidR="00A70993">
        <w:t xml:space="preserve"> organisme offrant un</w:t>
      </w:r>
      <w:r w:rsidR="00B43CD7">
        <w:t>e expertise indépendante de</w:t>
      </w:r>
      <w:r w:rsidR="00A70993">
        <w:t xml:space="preserve"> l’</w:t>
      </w:r>
      <w:r w:rsidR="00B43CD7">
        <w:t xml:space="preserve">entreprise est </w:t>
      </w:r>
      <w:r w:rsidR="00A70993">
        <w:t>créé</w:t>
      </w:r>
      <w:r w:rsidR="00B43CD7">
        <w:t xml:space="preserve"> en 1973</w:t>
      </w:r>
      <w:r w:rsidR="00A70993">
        <w:t xml:space="preserve"> : </w:t>
      </w:r>
      <w:r w:rsidR="00EF0ED6">
        <w:t xml:space="preserve">l’ANACT, Agence nationale </w:t>
      </w:r>
      <w:r w:rsidR="00EF0ED6" w:rsidRPr="00EF0ED6">
        <w:t>pour l’amélioration des conditions de travail</w:t>
      </w:r>
      <w:r w:rsidR="00EF0ED6">
        <w:t>, qui</w:t>
      </w:r>
      <w:r w:rsidR="00EF0ED6" w:rsidRPr="00EF0ED6">
        <w:t xml:space="preserve"> a pour vocation d’</w:t>
      </w:r>
      <w:r w:rsidR="00EF0ED6">
        <w:t xml:space="preserve"> « </w:t>
      </w:r>
      <w:r w:rsidR="00EF0ED6" w:rsidRPr="00EF0ED6">
        <w:rPr>
          <w:i/>
        </w:rPr>
        <w:t>améliorer à la fois la situation des salariés et l’efficacité des entreprises</w:t>
      </w:r>
      <w:r w:rsidR="00EF0ED6">
        <w:t> ».</w:t>
      </w:r>
    </w:p>
    <w:p w:rsidR="00F309DA" w:rsidRDefault="00EF0ED6">
      <w:r>
        <w:t xml:space="preserve">Enfin, l’Europe s’en mêle avec la directive du 12 juin 1989 sur l’amélioration de la sécurité et de la santé des travailleurs au </w:t>
      </w:r>
      <w:r w:rsidR="00A82C5D">
        <w:t>travail, qui préconise « </w:t>
      </w:r>
      <w:r w:rsidR="00A82C5D" w:rsidRPr="00A82C5D">
        <w:rPr>
          <w:i/>
        </w:rPr>
        <w:t>d’</w:t>
      </w:r>
      <w:r w:rsidRPr="00EF0ED6">
        <w:rPr>
          <w:i/>
        </w:rPr>
        <w:t xml:space="preserve">éviter les risques ou </w:t>
      </w:r>
      <w:r w:rsidR="00A82C5D">
        <w:rPr>
          <w:i/>
        </w:rPr>
        <w:t xml:space="preserve">de </w:t>
      </w:r>
      <w:r w:rsidRPr="00EF0ED6">
        <w:rPr>
          <w:i/>
        </w:rPr>
        <w:t>gérer les risques qui ne peuvent pas être évités</w:t>
      </w:r>
      <w:r>
        <w:t> ».</w:t>
      </w:r>
    </w:p>
    <w:p w:rsidR="008D156F" w:rsidRDefault="00A10B54" w:rsidP="00440BB0">
      <w:pPr>
        <w:pStyle w:val="Titre2"/>
      </w:pPr>
      <w:bookmarkStart w:id="7" w:name="_Toc212608268"/>
      <w:bookmarkStart w:id="8" w:name="_Toc212608749"/>
      <w:r>
        <w:t>L’</w:t>
      </w:r>
      <w:r w:rsidR="00A70993">
        <w:t>attitude des patrons face aux risques courus par leurs employés :</w:t>
      </w:r>
      <w:r>
        <w:t xml:space="preserve"> </w:t>
      </w:r>
      <w:r w:rsidR="00F309DA">
        <w:t>du paternalisme à la RSE</w:t>
      </w:r>
      <w:bookmarkEnd w:id="7"/>
      <w:bookmarkEnd w:id="8"/>
    </w:p>
    <w:p w:rsidR="00426B34" w:rsidRDefault="00426B34" w:rsidP="00440BB0">
      <w:pPr>
        <w:pStyle w:val="Titre3"/>
      </w:pPr>
      <w:bookmarkStart w:id="9" w:name="_Toc212608750"/>
      <w:r>
        <w:t>Le paternalisme industriel</w:t>
      </w:r>
      <w:bookmarkEnd w:id="9"/>
    </w:p>
    <w:p w:rsidR="0047065B" w:rsidRDefault="00A70993" w:rsidP="008D156F">
      <w:r>
        <w:t xml:space="preserve">Les ouvriers ne sont pas les seuls à se préoccuper des risques qu’ils courent. </w:t>
      </w:r>
      <w:r w:rsidR="00313474">
        <w:t>Au 19</w:t>
      </w:r>
      <w:r w:rsidR="00313474" w:rsidRPr="00313474">
        <w:rPr>
          <w:vertAlign w:val="superscript"/>
        </w:rPr>
        <w:t>e</w:t>
      </w:r>
      <w:r w:rsidR="00313474">
        <w:t xml:space="preserve"> siècle, de grands industriels </w:t>
      </w:r>
      <w:r>
        <w:t xml:space="preserve">offrent à leurs salariés une prise en charge </w:t>
      </w:r>
      <w:r w:rsidR="00313474">
        <w:t>« du berc</w:t>
      </w:r>
      <w:r w:rsidR="00D23E0A">
        <w:t xml:space="preserve">eau au </w:t>
      </w:r>
      <w:r w:rsidR="00000D15">
        <w:t>cercueil »</w:t>
      </w:r>
      <w:r w:rsidR="00D72254">
        <w:t xml:space="preserve">. </w:t>
      </w:r>
      <w:r w:rsidR="004E31E1">
        <w:t>L</w:t>
      </w:r>
      <w:r w:rsidR="00313474">
        <w:t xml:space="preserve">e paternalisme industriel </w:t>
      </w:r>
      <w:r w:rsidR="00000D15">
        <w:t>est inspiré par la charité chrétienne</w:t>
      </w:r>
      <w:r w:rsidR="0047065B">
        <w:t xml:space="preserve"> dans les milieux patronaux</w:t>
      </w:r>
      <w:r>
        <w:t xml:space="preserve"> traditionnels</w:t>
      </w:r>
      <w:r w:rsidR="0047065B">
        <w:t xml:space="preserve">, </w:t>
      </w:r>
      <w:r w:rsidR="00313474">
        <w:t xml:space="preserve">ou </w:t>
      </w:r>
      <w:r w:rsidR="00000D15">
        <w:t xml:space="preserve">par </w:t>
      </w:r>
      <w:r w:rsidR="00D72254">
        <w:t xml:space="preserve">un idéal </w:t>
      </w:r>
      <w:r>
        <w:t xml:space="preserve">républicain et réformiste </w:t>
      </w:r>
      <w:r w:rsidR="00000D15">
        <w:t xml:space="preserve">utopiste </w:t>
      </w:r>
      <w:r w:rsidR="00313474">
        <w:t>chez</w:t>
      </w:r>
      <w:r>
        <w:t xml:space="preserve"> ceux que l’on taxe d’« utopisme »</w:t>
      </w:r>
      <w:r w:rsidR="00313474">
        <w:t xml:space="preserve"> </w:t>
      </w:r>
      <w:r>
        <w:t xml:space="preserve">comme </w:t>
      </w:r>
      <w:r w:rsidR="0047065B">
        <w:t xml:space="preserve">Jean-Baptiste </w:t>
      </w:r>
      <w:r w:rsidR="00313474">
        <w:t xml:space="preserve">Godin </w:t>
      </w:r>
      <w:r w:rsidR="0047065B">
        <w:t>(</w:t>
      </w:r>
      <w:r>
        <w:t>Paquet, 1982</w:t>
      </w:r>
      <w:r w:rsidR="0047065B">
        <w:t xml:space="preserve">). </w:t>
      </w:r>
      <w:r w:rsidR="00D72254">
        <w:t xml:space="preserve">Mais il répond </w:t>
      </w:r>
      <w:r w:rsidR="00000D15">
        <w:t>aussi</w:t>
      </w:r>
      <w:r w:rsidR="0047065B">
        <w:t xml:space="preserve"> au </w:t>
      </w:r>
      <w:r w:rsidR="00426B34">
        <w:t>besoin de</w:t>
      </w:r>
      <w:r w:rsidR="00D23E0A">
        <w:t xml:space="preserve"> disposer d’une</w:t>
      </w:r>
      <w:r w:rsidR="00426B34">
        <w:t xml:space="preserve"> main d’œuvre formée</w:t>
      </w:r>
      <w:r w:rsidR="0047065B">
        <w:t xml:space="preserve">, stable et </w:t>
      </w:r>
      <w:r w:rsidR="008F70F8">
        <w:t>contrôlée.</w:t>
      </w:r>
    </w:p>
    <w:p w:rsidR="00D72254" w:rsidRDefault="00426B34" w:rsidP="008D156F">
      <w:r>
        <w:t>Des f</w:t>
      </w:r>
      <w:r w:rsidR="00066EF9">
        <w:t>irmes comme Michelin à Clermont-</w:t>
      </w:r>
      <w:r>
        <w:t>Ferrand pratiqueront, jusqu’à</w:t>
      </w:r>
      <w:r w:rsidRPr="00426B34">
        <w:t xml:space="preserve"> la fin des années 1960, </w:t>
      </w:r>
      <w:r>
        <w:t>un paternalisme très protecteur</w:t>
      </w:r>
      <w:r w:rsidRPr="00426B34">
        <w:t xml:space="preserve">. Un journaliste écrivait en 1932 : « </w:t>
      </w:r>
      <w:r w:rsidRPr="00426B34">
        <w:rPr>
          <w:i/>
        </w:rPr>
        <w:t xml:space="preserve">on naît à la clinique Michelin, on étudie à l’école Michelin, on prie à l’église du Jésus-ouvrier, construite au milieu d’une cité ouvrière Michelin, à côté des rues du Courage, de la Volonté, du Devoir. On fait ses courses à la coopérative Michelin et on pratique le sport à l’ASM (Association sportive Michelin) </w:t>
      </w:r>
      <w:r w:rsidRPr="00426B34">
        <w:t>»</w:t>
      </w:r>
      <w:r w:rsidR="00EF0ED6">
        <w:rPr>
          <w:rStyle w:val="Marquenotebasdepage"/>
        </w:rPr>
        <w:footnoteReference w:id="3"/>
      </w:r>
      <w:r w:rsidRPr="00426B34">
        <w:t>. L</w:t>
      </w:r>
      <w:r w:rsidR="00D23E0A">
        <w:t>’obéissance, voire la</w:t>
      </w:r>
      <w:r w:rsidR="00D23E0A" w:rsidRPr="00426B34">
        <w:t xml:space="preserve"> soumission</w:t>
      </w:r>
      <w:r w:rsidR="00D23E0A">
        <w:t xml:space="preserve"> </w:t>
      </w:r>
      <w:r w:rsidR="00D23E0A" w:rsidRPr="00426B34">
        <w:t>exig</w:t>
      </w:r>
      <w:r w:rsidR="00D23E0A">
        <w:t>é</w:t>
      </w:r>
      <w:r w:rsidR="00D23E0A" w:rsidRPr="00426B34">
        <w:t>e</w:t>
      </w:r>
      <w:r w:rsidR="00D23E0A">
        <w:t xml:space="preserve"> par le patron</w:t>
      </w:r>
      <w:r w:rsidR="00D23E0A" w:rsidRPr="00426B34">
        <w:t xml:space="preserve"> en échange</w:t>
      </w:r>
      <w:r w:rsidR="00D23E0A">
        <w:t xml:space="preserve"> de sa protection ne survivra pas aux années 1960.</w:t>
      </w:r>
    </w:p>
    <w:p w:rsidR="00864B94" w:rsidRDefault="00D23E0A" w:rsidP="008D156F">
      <w:r>
        <w:t>Ces pratiques paternalistes ne sont, au milieu du vingtième siècle, que des vestiges du capitalisme familial traditionnel</w:t>
      </w:r>
      <w:r w:rsidR="00D72254">
        <w:t xml:space="preserve">, </w:t>
      </w:r>
      <w:r w:rsidR="00000D15">
        <w:t>quand le</w:t>
      </w:r>
      <w:r w:rsidR="00D72254">
        <w:t xml:space="preserve"> château </w:t>
      </w:r>
      <w:r w:rsidR="00000D15">
        <w:t xml:space="preserve">des maîtres </w:t>
      </w:r>
      <w:r w:rsidR="00D72254">
        <w:t>s’élevait à quelques centaines de mètres des hauts-fourneaux ou des puits de mine</w:t>
      </w:r>
      <w:r>
        <w:t xml:space="preserve">. </w:t>
      </w:r>
      <w:r w:rsidR="00000D15">
        <w:t>L</w:t>
      </w:r>
      <w:r>
        <w:t>es capitalistes modernes</w:t>
      </w:r>
      <w:r w:rsidR="00D72254">
        <w:t xml:space="preserve"> sont </w:t>
      </w:r>
      <w:r w:rsidR="00000D15">
        <w:t xml:space="preserve">désormais </w:t>
      </w:r>
      <w:r w:rsidR="00D72254">
        <w:t>des</w:t>
      </w:r>
      <w:r>
        <w:t xml:space="preserve"> actionnaires </w:t>
      </w:r>
      <w:r w:rsidR="00A70993">
        <w:t>qui vivent loin des sites industriels et n</w:t>
      </w:r>
      <w:r w:rsidR="004E31E1">
        <w:t>e mette</w:t>
      </w:r>
      <w:r>
        <w:t xml:space="preserve">nt </w:t>
      </w:r>
      <w:r w:rsidR="00D72254">
        <w:t>jamais</w:t>
      </w:r>
      <w:r w:rsidR="00864B94">
        <w:t xml:space="preserve"> les pieds dans les ateliers.</w:t>
      </w:r>
      <w:r w:rsidR="004E31E1">
        <w:t xml:space="preserve"> </w:t>
      </w:r>
      <w:r w:rsidR="00864B94">
        <w:t>Les</w:t>
      </w:r>
      <w:r w:rsidR="00D72254">
        <w:t xml:space="preserve"> </w:t>
      </w:r>
      <w:r w:rsidR="00864B94">
        <w:t>« </w:t>
      </w:r>
      <w:r w:rsidR="00D72254">
        <w:t>managers</w:t>
      </w:r>
      <w:r w:rsidR="00864B94">
        <w:t> »</w:t>
      </w:r>
      <w:r>
        <w:t xml:space="preserve"> </w:t>
      </w:r>
      <w:r w:rsidR="00426B34">
        <w:t xml:space="preserve">qui </w:t>
      </w:r>
      <w:r w:rsidR="00D72254">
        <w:t>dirigent</w:t>
      </w:r>
      <w:r w:rsidR="00F309DA">
        <w:t xml:space="preserve"> effectivement </w:t>
      </w:r>
      <w:r w:rsidR="00D72254">
        <w:t xml:space="preserve">les </w:t>
      </w:r>
      <w:r w:rsidR="00864B94">
        <w:t xml:space="preserve">usines </w:t>
      </w:r>
      <w:r>
        <w:t>vivent sur place comme les travailleurs et leurs familles</w:t>
      </w:r>
      <w:r w:rsidR="00864B94">
        <w:t> ;</w:t>
      </w:r>
      <w:r w:rsidR="00D72254">
        <w:t xml:space="preserve"> </w:t>
      </w:r>
      <w:r w:rsidR="00F309DA">
        <w:t xml:space="preserve">ils </w:t>
      </w:r>
      <w:r w:rsidR="00D72254">
        <w:t xml:space="preserve"> </w:t>
      </w:r>
      <w:r w:rsidR="00F309DA">
        <w:t>sont sensibles à leur environnement</w:t>
      </w:r>
      <w:r w:rsidR="00D72254">
        <w:t xml:space="preserve"> et comprennent la</w:t>
      </w:r>
      <w:r w:rsidR="00D42572">
        <w:t xml:space="preserve"> nécessité d</w:t>
      </w:r>
      <w:r w:rsidR="00D72254">
        <w:t>e l</w:t>
      </w:r>
      <w:r w:rsidR="00D42572">
        <w:t>’</w:t>
      </w:r>
      <w:r w:rsidR="008D156F">
        <w:t xml:space="preserve">intégrer </w:t>
      </w:r>
      <w:r w:rsidR="00D72254">
        <w:t>à</w:t>
      </w:r>
      <w:r w:rsidR="008D156F">
        <w:t xml:space="preserve"> leurs calculs. </w:t>
      </w:r>
      <w:r w:rsidR="00864B94">
        <w:t xml:space="preserve">De leur côté, les </w:t>
      </w:r>
      <w:r w:rsidR="00426B34">
        <w:t>élus</w:t>
      </w:r>
      <w:r w:rsidR="008D156F">
        <w:t xml:space="preserve"> locaux</w:t>
      </w:r>
      <w:r w:rsidR="00426B34">
        <w:t xml:space="preserve"> </w:t>
      </w:r>
      <w:r w:rsidR="00864B94">
        <w:t xml:space="preserve">s’émancipent </w:t>
      </w:r>
      <w:r w:rsidR="00D42572">
        <w:t>lentement et difficilement</w:t>
      </w:r>
      <w:r w:rsidR="00864B94">
        <w:t xml:space="preserve">. Certains commencent </w:t>
      </w:r>
      <w:r w:rsidR="00426B34">
        <w:t xml:space="preserve">à </w:t>
      </w:r>
      <w:r w:rsidR="00D42572">
        <w:t>donner de la voix</w:t>
      </w:r>
      <w:r w:rsidR="00864B94">
        <w:t xml:space="preserve"> et à invoquer ce que l’on va bientôt appeler la responsabilité sociale de l’entreprise.</w:t>
      </w:r>
    </w:p>
    <w:p w:rsidR="00426B34" w:rsidRDefault="00426B34" w:rsidP="00440BB0">
      <w:pPr>
        <w:pStyle w:val="Titre3"/>
      </w:pPr>
      <w:bookmarkStart w:id="10" w:name="_Toc212608751"/>
      <w:r>
        <w:t>La R</w:t>
      </w:r>
      <w:r w:rsidR="00A82C5D">
        <w:t>esponsabilité sociale de l’entreprise (R</w:t>
      </w:r>
      <w:r>
        <w:t>SE</w:t>
      </w:r>
      <w:r w:rsidR="00A82C5D">
        <w:t>)</w:t>
      </w:r>
      <w:bookmarkEnd w:id="10"/>
    </w:p>
    <w:p w:rsidR="0023576A" w:rsidRDefault="0023576A" w:rsidP="0091108B">
      <w:r>
        <w:t xml:space="preserve">En 1953, paraît </w:t>
      </w:r>
      <w:r w:rsidR="00A70993">
        <w:t xml:space="preserve">aux États-Unis </w:t>
      </w:r>
      <w:r>
        <w:t>l</w:t>
      </w:r>
      <w:r w:rsidR="00864B94">
        <w:t>e</w:t>
      </w:r>
      <w:r w:rsidR="008F509B" w:rsidRPr="0091108B">
        <w:t xml:space="preserve"> premier </w:t>
      </w:r>
      <w:r w:rsidR="00864B94">
        <w:t xml:space="preserve">ouvrage </w:t>
      </w:r>
      <w:r>
        <w:t>avançant</w:t>
      </w:r>
      <w:r w:rsidR="008F509B" w:rsidRPr="0091108B">
        <w:t xml:space="preserve"> l’</w:t>
      </w:r>
      <w:r w:rsidR="00307892" w:rsidRPr="0091108B">
        <w:t>idée</w:t>
      </w:r>
      <w:r w:rsidR="008F509B" w:rsidRPr="0091108B">
        <w:t xml:space="preserve"> qu</w:t>
      </w:r>
      <w:r w:rsidR="00864B94">
        <w:t>e</w:t>
      </w:r>
      <w:r w:rsidR="008F509B" w:rsidRPr="0091108B">
        <w:t xml:space="preserve"> </w:t>
      </w:r>
      <w:r>
        <w:t>le dirigeant</w:t>
      </w:r>
      <w:r w:rsidR="00864B94" w:rsidRPr="0091108B">
        <w:t xml:space="preserve"> </w:t>
      </w:r>
      <w:r w:rsidR="00864B94">
        <w:t xml:space="preserve">n’est pas seulement responsable de ses résultats </w:t>
      </w:r>
      <w:r w:rsidR="00864B94" w:rsidRPr="0091108B">
        <w:t>économique</w:t>
      </w:r>
      <w:r>
        <w:t>s</w:t>
      </w:r>
      <w:r w:rsidR="00864B94" w:rsidRPr="0091108B">
        <w:t xml:space="preserve"> et financi</w:t>
      </w:r>
      <w:r>
        <w:t xml:space="preserve">ers </w:t>
      </w:r>
      <w:r w:rsidR="00864B94" w:rsidRPr="0091108B">
        <w:t>vis-à-vis de ses propriétaires</w:t>
      </w:r>
      <w:r>
        <w:t xml:space="preserve">, mais qu’il doit aussi assumer </w:t>
      </w:r>
      <w:r w:rsidR="00864B94" w:rsidRPr="0091108B">
        <w:t>une responsabilité</w:t>
      </w:r>
      <w:r w:rsidR="00864B94">
        <w:t xml:space="preserve"> sociale</w:t>
      </w:r>
      <w:r>
        <w:t>.</w:t>
      </w:r>
      <w:r w:rsidR="00864B94">
        <w:t xml:space="preserve"> </w:t>
      </w:r>
      <w:r w:rsidR="008F509B" w:rsidRPr="0091108B">
        <w:t xml:space="preserve">Il s’agit </w:t>
      </w:r>
      <w:r w:rsidR="004369D0" w:rsidRPr="0091108B">
        <w:t>du livre</w:t>
      </w:r>
      <w:r>
        <w:t xml:space="preserve"> de Howard Bowen, </w:t>
      </w:r>
      <w:r w:rsidR="00105D03" w:rsidRPr="00852EBC">
        <w:rPr>
          <w:i/>
        </w:rPr>
        <w:t>Social responsi</w:t>
      </w:r>
      <w:r w:rsidR="008D156F" w:rsidRPr="00852EBC">
        <w:rPr>
          <w:i/>
        </w:rPr>
        <w:t>bilities of the businessman</w:t>
      </w:r>
      <w:r w:rsidR="00426B34" w:rsidRPr="00852EBC">
        <w:rPr>
          <w:i/>
        </w:rPr>
        <w:t>.</w:t>
      </w:r>
      <w:r w:rsidR="00426B34" w:rsidRPr="0091108B">
        <w:t xml:space="preserve"> </w:t>
      </w:r>
    </w:p>
    <w:p w:rsidR="008F509B" w:rsidRPr="008F509B" w:rsidRDefault="008F509B" w:rsidP="0091108B">
      <w:r w:rsidRPr="0091108B">
        <w:t xml:space="preserve">Contrairement à un </w:t>
      </w:r>
      <w:r w:rsidR="000E404E" w:rsidRPr="0091108B">
        <w:t xml:space="preserve">Milton Friedmann, qui refusait la prise en considération de préoccupations éthiques dans les affaires, considérant que </w:t>
      </w:r>
      <w:r w:rsidR="00E1706C" w:rsidRPr="0091108B">
        <w:t>"</w:t>
      </w:r>
      <w:r w:rsidR="00E1706C" w:rsidRPr="0091108B">
        <w:rPr>
          <w:i/>
        </w:rPr>
        <w:t>l'unique responsabilité sociale de l'entreprise est d'accroître ses profits</w:t>
      </w:r>
      <w:r w:rsidR="002534ED" w:rsidRPr="0091108B">
        <w:t>"</w:t>
      </w:r>
      <w:r w:rsidR="002534ED" w:rsidRPr="0091108B">
        <w:rPr>
          <w:vertAlign w:val="superscript"/>
        </w:rPr>
        <w:footnoteReference w:id="4"/>
      </w:r>
      <w:r w:rsidR="000E404E" w:rsidRPr="0091108B">
        <w:t xml:space="preserve">, </w:t>
      </w:r>
      <w:r w:rsidRPr="0091108B">
        <w:t>Bowen estime que l’entre</w:t>
      </w:r>
      <w:r w:rsidR="0023576A">
        <w:t>prise doit aussi</w:t>
      </w:r>
      <w:r>
        <w:t xml:space="preserve"> </w:t>
      </w:r>
      <w:r w:rsidR="0023576A">
        <w:t xml:space="preserve">avoir </w:t>
      </w:r>
      <w:r>
        <w:t xml:space="preserve">comme objectifs le </w:t>
      </w:r>
      <w:r w:rsidRPr="008F509B">
        <w:t xml:space="preserve">progrès et </w:t>
      </w:r>
      <w:r w:rsidR="00AE1EE0">
        <w:t xml:space="preserve">la </w:t>
      </w:r>
      <w:r w:rsidRPr="008F509B">
        <w:t xml:space="preserve">stabilité économique, </w:t>
      </w:r>
      <w:r w:rsidR="00AE1EE0">
        <w:t xml:space="preserve">la </w:t>
      </w:r>
      <w:r w:rsidRPr="008F509B">
        <w:t xml:space="preserve">sécurité des personnes, </w:t>
      </w:r>
      <w:r w:rsidR="00AE1EE0">
        <w:t>l’</w:t>
      </w:r>
      <w:r w:rsidRPr="008F509B">
        <w:t xml:space="preserve">ordre public, </w:t>
      </w:r>
      <w:r w:rsidR="00AE1EE0">
        <w:t xml:space="preserve">la </w:t>
      </w:r>
      <w:r w:rsidRPr="008F509B">
        <w:t xml:space="preserve">justice sociale, </w:t>
      </w:r>
      <w:r w:rsidR="00AE1EE0">
        <w:t xml:space="preserve">la </w:t>
      </w:r>
      <w:r w:rsidRPr="008F509B">
        <w:t xml:space="preserve">liberté d’entreprise, </w:t>
      </w:r>
      <w:r w:rsidR="00AE1EE0">
        <w:t xml:space="preserve">le </w:t>
      </w:r>
      <w:r w:rsidRPr="008F509B">
        <w:t>développement personnel</w:t>
      </w:r>
      <w:r w:rsidR="004369D0">
        <w:t>,</w:t>
      </w:r>
      <w:r w:rsidRPr="008F509B">
        <w:t xml:space="preserve"> </w:t>
      </w:r>
      <w:r w:rsidR="004369D0">
        <w:t xml:space="preserve">des conditions de vie de qualité </w:t>
      </w:r>
      <w:r w:rsidR="0023576A">
        <w:t>pour</w:t>
      </w:r>
      <w:r w:rsidR="004369D0">
        <w:t xml:space="preserve"> ses salariés et la communauté qui en dépend</w:t>
      </w:r>
      <w:r w:rsidR="0023576A">
        <w:t>,</w:t>
      </w:r>
      <w:r w:rsidR="004369D0">
        <w:t xml:space="preserve"> </w:t>
      </w:r>
      <w:r w:rsidRPr="008F509B">
        <w:t xml:space="preserve">et </w:t>
      </w:r>
      <w:r w:rsidR="00AE1EE0">
        <w:t>l’</w:t>
      </w:r>
      <w:r w:rsidRPr="008F509B">
        <w:t>amélioration de l’environnement</w:t>
      </w:r>
      <w:r w:rsidR="00AE1EE0">
        <w:rPr>
          <w:rStyle w:val="Marquenotebasdepage"/>
        </w:rPr>
        <w:footnoteReference w:id="5"/>
      </w:r>
      <w:r w:rsidR="00F309DA">
        <w:t>.</w:t>
      </w:r>
    </w:p>
    <w:p w:rsidR="0049025F" w:rsidRDefault="00066EF9" w:rsidP="005C69B7">
      <w:r>
        <w:t>À la même époque, e</w:t>
      </w:r>
      <w:r w:rsidR="006E2314">
        <w:t>n France, Auguste Det</w:t>
      </w:r>
      <w:r w:rsidR="000E404E">
        <w:t>œuf</w:t>
      </w:r>
      <w:r w:rsidR="0091108B">
        <w:t>, fondateur de l’Al</w:t>
      </w:r>
      <w:r w:rsidR="00D42572">
        <w:t xml:space="preserve">sthom et figure marquante du patronat éclairé de l’entre-deux guerres, </w:t>
      </w:r>
      <w:r>
        <w:t>plaide</w:t>
      </w:r>
      <w:r w:rsidR="006E2314">
        <w:t xml:space="preserve"> </w:t>
      </w:r>
      <w:r w:rsidR="005C69B7">
        <w:t>depuis des années pour u</w:t>
      </w:r>
      <w:r w:rsidR="006E2314">
        <w:t xml:space="preserve">ne </w:t>
      </w:r>
      <w:r w:rsidR="005C69B7">
        <w:t>« </w:t>
      </w:r>
      <w:r w:rsidR="006E2314" w:rsidRPr="00066EF9">
        <w:rPr>
          <w:i/>
        </w:rPr>
        <w:t xml:space="preserve">responsabilité sociale </w:t>
      </w:r>
      <w:r w:rsidR="005C69B7" w:rsidRPr="00066EF9">
        <w:rPr>
          <w:i/>
        </w:rPr>
        <w:t>du patron </w:t>
      </w:r>
      <w:r w:rsidR="005C69B7">
        <w:t xml:space="preserve">» réelle, effective, </w:t>
      </w:r>
      <w:r>
        <w:t>et</w:t>
      </w:r>
      <w:r w:rsidR="005C69B7">
        <w:t xml:space="preserve"> </w:t>
      </w:r>
      <w:r w:rsidR="006E2314">
        <w:t>débarrassée du paternalisme</w:t>
      </w:r>
      <w:r w:rsidR="005C69B7">
        <w:t> :</w:t>
      </w:r>
      <w:r w:rsidR="006E2314">
        <w:t xml:space="preserve"> </w:t>
      </w:r>
      <w:r w:rsidR="005C69B7">
        <w:t>« </w:t>
      </w:r>
      <w:r w:rsidR="005C69B7" w:rsidRPr="005C69B7">
        <w:rPr>
          <w:i/>
        </w:rPr>
        <w:t>Le patron social est ni un roi de droit divin ni un instituteur avec un groupe d’écoliers chahuteurs ni un père de famille distribuant récompenses et sanctions. C’est un homme qui commande des hommes </w:t>
      </w:r>
      <w:r w:rsidR="005C69B7">
        <w:t>»</w:t>
      </w:r>
      <w:r w:rsidR="00F309DA">
        <w:rPr>
          <w:rStyle w:val="Marquenotebasdepage"/>
        </w:rPr>
        <w:footnoteReference w:id="6"/>
      </w:r>
      <w:r w:rsidR="005C69B7">
        <w:t>.</w:t>
      </w:r>
    </w:p>
    <w:p w:rsidR="00C44CE5" w:rsidRDefault="00C44CE5" w:rsidP="00440BB0">
      <w:pPr>
        <w:pStyle w:val="Titre3"/>
      </w:pPr>
      <w:bookmarkStart w:id="11" w:name="_Toc212608752"/>
      <w:r>
        <w:t>Du village rural au village mondial : la montée de la sensibilité aux risques industriels</w:t>
      </w:r>
      <w:bookmarkEnd w:id="11"/>
    </w:p>
    <w:p w:rsidR="00C44CE5" w:rsidRDefault="00C44CE5" w:rsidP="00C44CE5">
      <w:r>
        <w:t>La première révolution industrielle a provoqué des dégâts considérables, rasant des forêts et polluant sans vergogne l’eau des fleuves et l’air des villes</w:t>
      </w:r>
      <w:r>
        <w:rPr>
          <w:rStyle w:val="Marquenotebasdepage"/>
        </w:rPr>
        <w:footnoteReference w:id="7"/>
      </w:r>
      <w:r>
        <w:t>.</w:t>
      </w:r>
      <w:r w:rsidRPr="00EA3778">
        <w:t xml:space="preserve"> </w:t>
      </w:r>
      <w:r>
        <w:t>Les ravages de l’industrie n’ont longtemps été contenus que par la concurrence entre des usages alternatifs de biens naturels</w:t>
      </w:r>
      <w:r w:rsidR="0023576A">
        <w:t>. Concurrence qui a mis du temps à se faire jour, ces biens étant</w:t>
      </w:r>
      <w:r>
        <w:t xml:space="preserve"> considérés depuis toujours comme des ressources illimitées. Face aux sidérurgistes qui brûlaient des hectares et des hectares de bois, se sont élevés les chasseurs, qui voulaient conserver des forêts pour le gibier, les </w:t>
      </w:r>
      <w:r w:rsidR="0023576A">
        <w:t>architectes</w:t>
      </w:r>
      <w:r>
        <w:t xml:space="preserve"> qui avaient besoin de poutres et les représentants du roi dont la marine ne pouvait se passer de mâts pour ses navires.</w:t>
      </w:r>
    </w:p>
    <w:p w:rsidR="00C44CE5" w:rsidRDefault="0023576A" w:rsidP="00C44CE5">
      <w:r>
        <w:t>Face aux</w:t>
      </w:r>
      <w:r w:rsidR="00C44CE5">
        <w:t xml:space="preserve"> autres risques </w:t>
      </w:r>
      <w:r>
        <w:t>que pouvait faire courir l’industrie à l’environnement</w:t>
      </w:r>
      <w:r w:rsidR="00C44CE5">
        <w:t xml:space="preserve"> (pollution </w:t>
      </w:r>
      <w:r>
        <w:t>de l’air, de l’eau et des sols)</w:t>
      </w:r>
      <w:r w:rsidR="00C44CE5">
        <w:t xml:space="preserve"> </w:t>
      </w:r>
      <w:r>
        <w:t>et aux personnes</w:t>
      </w:r>
      <w:r w:rsidR="00C44CE5">
        <w:t xml:space="preserve"> </w:t>
      </w:r>
      <w:r>
        <w:t xml:space="preserve">habitant autour de l’usine, </w:t>
      </w:r>
      <w:r w:rsidR="00C44CE5">
        <w:t xml:space="preserve">un certain fatalisme a régné jusqu’au dix-neuvième siècle. Il </w:t>
      </w:r>
      <w:r w:rsidR="0049025F">
        <w:t>est</w:t>
      </w:r>
      <w:r w:rsidR="00C44CE5">
        <w:t xml:space="preserve"> difficile de s’attaquer</w:t>
      </w:r>
      <w:r w:rsidR="0049025F">
        <w:t xml:space="preserve"> à l’établissement qui vous f</w:t>
      </w:r>
      <w:r w:rsidR="00C44CE5">
        <w:t>ait vivre</w:t>
      </w:r>
      <w:r w:rsidR="0049025F">
        <w:t xml:space="preserve"> et</w:t>
      </w:r>
      <w:r w:rsidR="00B233C2">
        <w:t xml:space="preserve"> </w:t>
      </w:r>
      <w:r w:rsidR="00C44CE5">
        <w:t xml:space="preserve">dont le propriétaire </w:t>
      </w:r>
      <w:r w:rsidR="0049025F">
        <w:t>est</w:t>
      </w:r>
      <w:r w:rsidR="00C44CE5">
        <w:t xml:space="preserve"> un notable puissant</w:t>
      </w:r>
      <w:r w:rsidR="00B233C2">
        <w:t>, souvent maire ou député</w:t>
      </w:r>
      <w:r w:rsidR="00C44CE5">
        <w:t>.</w:t>
      </w:r>
    </w:p>
    <w:p w:rsidR="00C44CE5" w:rsidRDefault="00C44CE5" w:rsidP="00440BB0">
      <w:pPr>
        <w:pStyle w:val="Titre3"/>
      </w:pPr>
      <w:bookmarkStart w:id="12" w:name="_Toc212608753"/>
      <w:r>
        <w:t>L’environnement, une nouvelle frontière.</w:t>
      </w:r>
      <w:r w:rsidRPr="00DC769E">
        <w:t xml:space="preserve"> </w:t>
      </w:r>
      <w:r w:rsidR="00440BB0">
        <w:t>De la protection à l’obsession</w:t>
      </w:r>
      <w:bookmarkEnd w:id="12"/>
    </w:p>
    <w:p w:rsidR="00DC769E" w:rsidRDefault="00D72254" w:rsidP="00DC769E">
      <w:pPr>
        <w:rPr>
          <w:bCs/>
        </w:rPr>
      </w:pPr>
      <w:r>
        <w:rPr>
          <w:bCs/>
        </w:rPr>
        <w:t xml:space="preserve">Jusque dans les années 1950, </w:t>
      </w:r>
      <w:r w:rsidR="00945AEF">
        <w:rPr>
          <w:bCs/>
        </w:rPr>
        <w:t xml:space="preserve">le développement industriel allait </w:t>
      </w:r>
      <w:r w:rsidR="0049025F">
        <w:rPr>
          <w:bCs/>
        </w:rPr>
        <w:t xml:space="preserve">donc </w:t>
      </w:r>
      <w:r w:rsidR="00945AEF">
        <w:rPr>
          <w:bCs/>
        </w:rPr>
        <w:t xml:space="preserve">de soi. Ses conséquences </w:t>
      </w:r>
      <w:r w:rsidR="00B233C2">
        <w:rPr>
          <w:bCs/>
        </w:rPr>
        <w:t xml:space="preserve">les plus </w:t>
      </w:r>
      <w:r w:rsidR="00945AEF">
        <w:rPr>
          <w:bCs/>
        </w:rPr>
        <w:t xml:space="preserve">néfastes étaient encadrées par des normes publiques, et l’industriel qui les respectait scrupuleusement </w:t>
      </w:r>
      <w:r w:rsidR="00DC769E">
        <w:rPr>
          <w:bCs/>
        </w:rPr>
        <w:t>n’était pas</w:t>
      </w:r>
      <w:r w:rsidR="00945AEF">
        <w:rPr>
          <w:bCs/>
        </w:rPr>
        <w:t xml:space="preserve"> inquiété. Les populations voisines d’un établissement polluant s’y résignaient </w:t>
      </w:r>
      <w:r w:rsidR="0049025F">
        <w:rPr>
          <w:bCs/>
        </w:rPr>
        <w:t>considérant que c’était l’inévitable contrepartie des</w:t>
      </w:r>
      <w:r w:rsidR="00945AEF">
        <w:rPr>
          <w:bCs/>
        </w:rPr>
        <w:t xml:space="preserve"> emplois et </w:t>
      </w:r>
      <w:r w:rsidR="0049025F">
        <w:rPr>
          <w:bCs/>
        </w:rPr>
        <w:t>de la</w:t>
      </w:r>
      <w:r w:rsidR="00945AEF">
        <w:rPr>
          <w:bCs/>
        </w:rPr>
        <w:t xml:space="preserve"> prospérité </w:t>
      </w:r>
      <w:r w:rsidR="0049025F">
        <w:rPr>
          <w:bCs/>
        </w:rPr>
        <w:t>de la</w:t>
      </w:r>
      <w:r w:rsidR="00945AEF">
        <w:rPr>
          <w:bCs/>
        </w:rPr>
        <w:t xml:space="preserve"> commun</w:t>
      </w:r>
      <w:r>
        <w:rPr>
          <w:bCs/>
        </w:rPr>
        <w:t>e.</w:t>
      </w:r>
      <w:r w:rsidR="00945AEF">
        <w:rPr>
          <w:bCs/>
        </w:rPr>
        <w:t xml:space="preserve"> </w:t>
      </w:r>
    </w:p>
    <w:p w:rsidR="002825E0" w:rsidRDefault="00D72254" w:rsidP="00134B28">
      <w:r>
        <w:t>Les positions se sont progressivement radicalisées à partir des années 1970.</w:t>
      </w:r>
      <w:r>
        <w:rPr>
          <w:bCs/>
        </w:rPr>
        <w:t xml:space="preserve"> T</w:t>
      </w:r>
      <w:r w:rsidR="00DC769E">
        <w:rPr>
          <w:bCs/>
        </w:rPr>
        <w:t>out</w:t>
      </w:r>
      <w:r w:rsidR="00945AEF">
        <w:rPr>
          <w:bCs/>
        </w:rPr>
        <w:t xml:space="preserve"> risque sur l’environnement naturel et humain est </w:t>
      </w:r>
      <w:r>
        <w:rPr>
          <w:bCs/>
        </w:rPr>
        <w:t xml:space="preserve">devenu </w:t>
      </w:r>
      <w:r w:rsidR="00945AEF">
        <w:rPr>
          <w:bCs/>
        </w:rPr>
        <w:t xml:space="preserve">intolérable, et </w:t>
      </w:r>
      <w:r w:rsidR="00DC769E">
        <w:rPr>
          <w:bCs/>
        </w:rPr>
        <w:t xml:space="preserve">une forte pression </w:t>
      </w:r>
      <w:r w:rsidR="00B233C2">
        <w:rPr>
          <w:bCs/>
        </w:rPr>
        <w:t xml:space="preserve">a commencé à </w:t>
      </w:r>
      <w:r w:rsidR="006D3AC3">
        <w:rPr>
          <w:bCs/>
        </w:rPr>
        <w:t>s’</w:t>
      </w:r>
      <w:r w:rsidR="00DC769E">
        <w:rPr>
          <w:bCs/>
        </w:rPr>
        <w:t>exe</w:t>
      </w:r>
      <w:r w:rsidR="006D3AC3">
        <w:rPr>
          <w:bCs/>
        </w:rPr>
        <w:t>rc</w:t>
      </w:r>
      <w:r w:rsidR="00DC769E">
        <w:rPr>
          <w:bCs/>
        </w:rPr>
        <w:t>e</w:t>
      </w:r>
      <w:r w:rsidR="00B233C2">
        <w:rPr>
          <w:bCs/>
        </w:rPr>
        <w:t>r</w:t>
      </w:r>
      <w:r w:rsidR="00DC769E">
        <w:rPr>
          <w:bCs/>
        </w:rPr>
        <w:t xml:space="preserve"> sur les </w:t>
      </w:r>
      <w:r w:rsidR="00945AEF">
        <w:rPr>
          <w:bCs/>
        </w:rPr>
        <w:t>entreprise</w:t>
      </w:r>
      <w:r w:rsidR="00DC769E">
        <w:rPr>
          <w:bCs/>
        </w:rPr>
        <w:t>s</w:t>
      </w:r>
      <w:r w:rsidR="006D3AC3">
        <w:rPr>
          <w:bCs/>
        </w:rPr>
        <w:t xml:space="preserve">. </w:t>
      </w:r>
      <w:r w:rsidR="00DC769E">
        <w:t>D</w:t>
      </w:r>
      <w:r w:rsidR="00577FC8">
        <w:t xml:space="preserve">ans </w:t>
      </w:r>
      <w:r w:rsidR="00E93082">
        <w:t>un</w:t>
      </w:r>
      <w:r w:rsidR="00577FC8">
        <w:t xml:space="preserve"> pays où le </w:t>
      </w:r>
      <w:r w:rsidR="00577FC8" w:rsidRPr="00B233C2">
        <w:rPr>
          <w:i/>
        </w:rPr>
        <w:t>w</w:t>
      </w:r>
      <w:r w:rsidR="00E75050" w:rsidRPr="00B233C2">
        <w:rPr>
          <w:i/>
        </w:rPr>
        <w:t>elfare state</w:t>
      </w:r>
      <w:r w:rsidR="00E75050">
        <w:t xml:space="preserve"> </w:t>
      </w:r>
      <w:r w:rsidR="00577FC8">
        <w:t xml:space="preserve">protège </w:t>
      </w:r>
      <w:r w:rsidR="00557A40">
        <w:t>désormais</w:t>
      </w:r>
      <w:r w:rsidR="00577FC8">
        <w:t xml:space="preserve"> </w:t>
      </w:r>
      <w:r w:rsidR="00DC769E">
        <w:t xml:space="preserve">les travailleurs </w:t>
      </w:r>
      <w:r w:rsidR="00577FC8">
        <w:t xml:space="preserve">contre les </w:t>
      </w:r>
      <w:r w:rsidR="0049025F">
        <w:t>risques</w:t>
      </w:r>
      <w:r w:rsidR="00577FC8">
        <w:t xml:space="preserve"> de </w:t>
      </w:r>
      <w:r w:rsidR="0049025F">
        <w:t>l’existence</w:t>
      </w:r>
      <w:r w:rsidR="00DC769E">
        <w:t>, les préoccupations se sont déplacées</w:t>
      </w:r>
      <w:r w:rsidR="00E93082">
        <w:t xml:space="preserve">. </w:t>
      </w:r>
      <w:r w:rsidR="00DC769E">
        <w:t>L</w:t>
      </w:r>
      <w:r w:rsidR="00577FC8">
        <w:t xml:space="preserve">e risque </w:t>
      </w:r>
      <w:r w:rsidR="006D3AC3">
        <w:t>a pris</w:t>
      </w:r>
      <w:r w:rsidR="00577FC8">
        <w:t xml:space="preserve"> une </w:t>
      </w:r>
      <w:r w:rsidR="00B233C2">
        <w:t>dimension</w:t>
      </w:r>
      <w:r w:rsidR="00577FC8">
        <w:t xml:space="preserve"> planétaire. Le choc pétrolier de 1973</w:t>
      </w:r>
      <w:r w:rsidR="006D3AC3">
        <w:t xml:space="preserve"> </w:t>
      </w:r>
      <w:r w:rsidR="00DC769E">
        <w:t>a off</w:t>
      </w:r>
      <w:r w:rsidR="00513E11">
        <w:t>e</w:t>
      </w:r>
      <w:r w:rsidR="00DC769E">
        <w:t>rt</w:t>
      </w:r>
      <w:r w:rsidR="00D71CF3">
        <w:t xml:space="preserve"> une caisse de résonance colossale </w:t>
      </w:r>
      <w:r w:rsidR="006D3AC3">
        <w:t>aux chercheurs et aux militants</w:t>
      </w:r>
      <w:r w:rsidR="00D71CF3">
        <w:t xml:space="preserve"> qui </w:t>
      </w:r>
      <w:r w:rsidR="00513E11">
        <w:t>souhait</w:t>
      </w:r>
      <w:r w:rsidR="006D3AC3">
        <w:t>ai</w:t>
      </w:r>
      <w:r w:rsidR="00D71CF3">
        <w:t>ent faire prendre co</w:t>
      </w:r>
      <w:r w:rsidR="00B233C2">
        <w:t>nscience à leurs contemporains d</w:t>
      </w:r>
      <w:r w:rsidR="00D71CF3">
        <w:t>es menaces qui pesaient</w:t>
      </w:r>
      <w:r w:rsidR="00557A40">
        <w:t>,</w:t>
      </w:r>
      <w:r w:rsidR="00D71CF3">
        <w:t xml:space="preserve"> </w:t>
      </w:r>
      <w:r w:rsidR="00557A40">
        <w:t xml:space="preserve">dans un monde fini, </w:t>
      </w:r>
      <w:r w:rsidR="00D71CF3">
        <w:t>sur des terriens toujours plus nombreux et plus gourmands</w:t>
      </w:r>
      <w:r w:rsidR="00D71CF3">
        <w:rPr>
          <w:rStyle w:val="Marquenotebasdepage"/>
        </w:rPr>
        <w:footnoteReference w:id="8"/>
      </w:r>
      <w:r w:rsidR="00D71CF3">
        <w:t>.</w:t>
      </w:r>
    </w:p>
    <w:p w:rsidR="006D3AC3" w:rsidRDefault="006D3AC3" w:rsidP="00134B28">
      <w:r>
        <w:t>Cette prise de conscience</w:t>
      </w:r>
      <w:r w:rsidR="002825E0">
        <w:t xml:space="preserve"> a pris des formes diverses, </w:t>
      </w:r>
      <w:r>
        <w:t xml:space="preserve">avant de déboucher sur une décision majeure </w:t>
      </w:r>
      <w:r w:rsidR="002825E0">
        <w:t>parfaitement en phase avec l’air du temps, mais très discuté</w:t>
      </w:r>
      <w:r>
        <w:t>e</w:t>
      </w:r>
      <w:r w:rsidR="002825E0">
        <w:t xml:space="preserve"> par </w:t>
      </w:r>
      <w:r>
        <w:t xml:space="preserve">de nombreux professionnels, industriels ou chercheurs : le principe de précaution, inscrit </w:t>
      </w:r>
      <w:r>
        <w:rPr>
          <w:bCs/>
        </w:rPr>
        <w:t xml:space="preserve">dans la Constitution de la République française </w:t>
      </w:r>
      <w:r w:rsidR="00945AEF">
        <w:rPr>
          <w:bCs/>
        </w:rPr>
        <w:t>en 2005</w:t>
      </w:r>
      <w:r w:rsidR="00B233C2">
        <w:rPr>
          <w:bCs/>
        </w:rPr>
        <w:t>. C’est un</w:t>
      </w:r>
      <w:r>
        <w:rPr>
          <w:bCs/>
        </w:rPr>
        <w:t xml:space="preserve"> </w:t>
      </w:r>
      <w:r w:rsidR="00945AEF">
        <w:rPr>
          <w:bCs/>
        </w:rPr>
        <w:t xml:space="preserve">concept vieux d’une trentaine d’années, d’abord réservé aux politiques publiques </w:t>
      </w:r>
      <w:r w:rsidR="00B233C2">
        <w:rPr>
          <w:bCs/>
        </w:rPr>
        <w:t xml:space="preserve">puis qui </w:t>
      </w:r>
      <w:r w:rsidR="00945AEF">
        <w:rPr>
          <w:bCs/>
        </w:rPr>
        <w:t>s’est progressivement imposé à tous les secteurs</w:t>
      </w:r>
      <w:r w:rsidR="00945AEF">
        <w:t xml:space="preserve">. </w:t>
      </w:r>
    </w:p>
    <w:p w:rsidR="00AF080E" w:rsidRDefault="00945AEF" w:rsidP="00134B28">
      <w:r>
        <w:t>Il ne s’agit plus de p</w:t>
      </w:r>
      <w:r w:rsidR="00557A40">
        <w:t>révenir, mais d’anticiper tout risque</w:t>
      </w:r>
      <w:r w:rsidR="0049025F">
        <w:t xml:space="preserve"> éventuel</w:t>
      </w:r>
      <w:r>
        <w:t xml:space="preserve">. </w:t>
      </w:r>
      <w:r w:rsidR="00A10F3A">
        <w:t>On passe de la gestion du risque survenu à celle du risque possible</w:t>
      </w:r>
      <w:r w:rsidR="0027390B">
        <w:t>, de la précaution face à ce qu’on connaît à l’abstention face à ce que l’on ne connaît pas. Mais</w:t>
      </w:r>
      <w:r w:rsidR="0049025F">
        <w:t xml:space="preserve">, </w:t>
      </w:r>
      <w:r w:rsidR="0027390B">
        <w:t>comme l’écrit François Ewald (2009), « </w:t>
      </w:r>
      <w:r w:rsidR="0027390B" w:rsidRPr="0049025F">
        <w:rPr>
          <w:i/>
        </w:rPr>
        <w:t>Comment savoir ce que l’on ne sait pas ? </w:t>
      </w:r>
      <w:r w:rsidR="0027390B">
        <w:t>»</w:t>
      </w:r>
      <w:r w:rsidR="00A10F3A">
        <w:t xml:space="preserve">. </w:t>
      </w:r>
      <w:r w:rsidR="009942FA">
        <w:t>Ce</w:t>
      </w:r>
      <w:r w:rsidR="00A10F3A">
        <w:t xml:space="preserve">tte confusion du risque et du danger, du probable et du possible, </w:t>
      </w:r>
      <w:r w:rsidR="0049025F">
        <w:t xml:space="preserve">« cygnes noirs » compris, </w:t>
      </w:r>
      <w:r w:rsidR="00A10F3A">
        <w:t>suscite d</w:t>
      </w:r>
      <w:r w:rsidR="009942FA">
        <w:t>es critiques</w:t>
      </w:r>
      <w:r w:rsidR="0049025F">
        <w:rPr>
          <w:rStyle w:val="Marquenotebasdepage"/>
        </w:rPr>
        <w:footnoteReference w:id="9"/>
      </w:r>
      <w:r w:rsidR="00557A40">
        <w:t xml:space="preserve">. Le monde économique </w:t>
      </w:r>
      <w:r w:rsidR="0049025F">
        <w:t xml:space="preserve">appelle Schumpeter </w:t>
      </w:r>
      <w:r w:rsidR="00F60596">
        <w:t xml:space="preserve">(1911) </w:t>
      </w:r>
      <w:r w:rsidR="0049025F">
        <w:t>à la rescousse pour tenter de convaincre</w:t>
      </w:r>
      <w:r w:rsidR="00557A40">
        <w:t xml:space="preserve"> qu’il n’est pas d’entreprise sans risque, les chercheurs se plaignent de se heurter constamment à des veto ou à des tabous, et les citoyens actifs se désolent du </w:t>
      </w:r>
      <w:r w:rsidR="009942FA">
        <w:t>soutien</w:t>
      </w:r>
      <w:r w:rsidR="00557A40">
        <w:t xml:space="preserve"> (involontaire)</w:t>
      </w:r>
      <w:r w:rsidR="009942FA">
        <w:t xml:space="preserve"> </w:t>
      </w:r>
      <w:r w:rsidR="00A10B54">
        <w:t>apporté</w:t>
      </w:r>
      <w:r w:rsidR="00557A40">
        <w:t xml:space="preserve"> </w:t>
      </w:r>
      <w:r w:rsidR="009942FA">
        <w:t xml:space="preserve">par la Loi </w:t>
      </w:r>
      <w:r w:rsidR="00557A40">
        <w:t>à des</w:t>
      </w:r>
      <w:r w:rsidR="009942FA">
        <w:t xml:space="preserve"> intérêts privés</w:t>
      </w:r>
      <w:r w:rsidR="00557A40">
        <w:t xml:space="preserve"> plus ou moins légitimes</w:t>
      </w:r>
      <w:r w:rsidR="00531194">
        <w:rPr>
          <w:rStyle w:val="Marquenotebasdepage"/>
        </w:rPr>
        <w:footnoteReference w:id="10"/>
      </w:r>
      <w:r w:rsidR="009942FA">
        <w:t xml:space="preserve">. </w:t>
      </w:r>
    </w:p>
    <w:p w:rsidR="001723C5" w:rsidRDefault="00F60596" w:rsidP="00440BB0">
      <w:pPr>
        <w:pStyle w:val="Titre2"/>
      </w:pPr>
      <w:bookmarkStart w:id="13" w:name="_Toc212608269"/>
      <w:bookmarkStart w:id="14" w:name="_Toc212608754"/>
      <w:r>
        <w:t>Une société sereine face à un risque majeur : l</w:t>
      </w:r>
      <w:r w:rsidR="00134B28">
        <w:t>es Angelenos et le Big One</w:t>
      </w:r>
      <w:r w:rsidR="004369D0">
        <w:t xml:space="preserve">. </w:t>
      </w:r>
      <w:bookmarkEnd w:id="13"/>
      <w:bookmarkEnd w:id="14"/>
    </w:p>
    <w:p w:rsidR="001723C5" w:rsidRDefault="001723C5" w:rsidP="001723C5">
      <w:r>
        <w:t>Los Angeles, c’est une conurbation de 18 millions d’habitants</w:t>
      </w:r>
      <w:r w:rsidR="00A10B54">
        <w:t xml:space="preserve">. Parmi eux, </w:t>
      </w:r>
      <w:r>
        <w:t xml:space="preserve">80% </w:t>
      </w:r>
      <w:r w:rsidR="00A10B54">
        <w:t xml:space="preserve">des plus de 15 ans </w:t>
      </w:r>
      <w:r>
        <w:t xml:space="preserve">ont un diplôme secondaire et 30% </w:t>
      </w:r>
      <w:r w:rsidR="00F60596">
        <w:t xml:space="preserve">des plus de 25 ans </w:t>
      </w:r>
      <w:r>
        <w:t>sont diplômés d</w:t>
      </w:r>
      <w:r w:rsidR="00F60596">
        <w:t xml:space="preserve">e l’enseignement </w:t>
      </w:r>
      <w:r>
        <w:t>supérieur.</w:t>
      </w:r>
    </w:p>
    <w:p w:rsidR="00CB2648" w:rsidRDefault="001723C5" w:rsidP="001723C5">
      <w:r>
        <w:t>La Californie est traversée par plusieurs failles dont celle, majeure, de San Andreas et celle de Puente Hills, secondaire mais située sous la ville de L.A.</w:t>
      </w:r>
      <w:r w:rsidR="00F60596">
        <w:t xml:space="preserve"> Elle </w:t>
      </w:r>
      <w:r>
        <w:t xml:space="preserve">est constamment secouée par des tremblements de terre d’intensité variable. Les sismologues prévoient </w:t>
      </w:r>
      <w:r w:rsidR="00A10B54">
        <w:t xml:space="preserve">à un </w:t>
      </w:r>
      <w:r w:rsidR="00A10B54" w:rsidRPr="00CC5AAB">
        <w:t>horizon de 25 à 30 ans</w:t>
      </w:r>
      <w:r w:rsidR="00A10B54">
        <w:t xml:space="preserve"> </w:t>
      </w:r>
      <w:r>
        <w:t>un séisme majeur d’une i</w:t>
      </w:r>
      <w:r w:rsidR="00CC5AAB">
        <w:t>ntensité supérieure 7,5 sur l’échelle de Richter</w:t>
      </w:r>
      <w:r>
        <w:t xml:space="preserve">, avec une probabilité </w:t>
      </w:r>
      <w:r w:rsidR="00A10B54">
        <w:t>forte – voire très forte</w:t>
      </w:r>
      <w:r w:rsidR="0029185A" w:rsidRPr="00CC5AAB">
        <w:t>.</w:t>
      </w:r>
      <w:r w:rsidR="00CC5AAB">
        <w:t xml:space="preserve"> </w:t>
      </w:r>
    </w:p>
    <w:p w:rsidR="00CB2648" w:rsidRDefault="0029185A" w:rsidP="00CB2648">
      <w:r>
        <w:t xml:space="preserve">Les Angelenos sont habitués aux tremblements de terre et </w:t>
      </w:r>
      <w:r w:rsidR="00A10B54">
        <w:t>les prennent</w:t>
      </w:r>
      <w:r>
        <w:t xml:space="preserve"> très au sérieux. Les bâtiments sont régulièrement mi</w:t>
      </w:r>
      <w:r w:rsidR="00A10B54">
        <w:t xml:space="preserve">s aux normes les plus sévères, et la conduite à tenir </w:t>
      </w:r>
      <w:r>
        <w:t xml:space="preserve">en cas de séisme </w:t>
      </w:r>
      <w:r w:rsidR="00A10B54">
        <w:t>est connue</w:t>
      </w:r>
      <w:r>
        <w:t xml:space="preserve"> de tous.</w:t>
      </w:r>
      <w:r w:rsidR="00F60596">
        <w:t xml:space="preserve"> Ils </w:t>
      </w:r>
      <w:r>
        <w:t>sont très largement informés</w:t>
      </w:r>
      <w:r w:rsidR="00A10B54">
        <w:t xml:space="preserve"> sur l</w:t>
      </w:r>
      <w:r w:rsidR="00CB2648">
        <w:t>e Big One</w:t>
      </w:r>
      <w:r w:rsidR="00A10B54">
        <w:t xml:space="preserve">, </w:t>
      </w:r>
      <w:r w:rsidR="00CB2648">
        <w:t>« marronnier »</w:t>
      </w:r>
      <w:r w:rsidR="00A10B54">
        <w:t xml:space="preserve"> de la presse locale. D</w:t>
      </w:r>
      <w:r w:rsidR="00CB2648">
        <w:t xml:space="preserve">es chercheurs des Universités d’Irvine (UCI) et de Phoenix (ASU) </w:t>
      </w:r>
      <w:r w:rsidR="00A10B54">
        <w:t>ont récemment</w:t>
      </w:r>
      <w:r w:rsidR="00CB2648">
        <w:t xml:space="preserve">  déterminé que les séismes d’une magnitude de l’ordre de 7 revenaient avec une fréquence allant de 45 à 144 ans. Le dernier s’étant produit en 1857, le danger leur semblait imm</w:t>
      </w:r>
      <w:r w:rsidR="00A10B54">
        <w:t>édiat (et même</w:t>
      </w:r>
      <w:r w:rsidR="00CB2648">
        <w:t> </w:t>
      </w:r>
      <w:r w:rsidR="00CB2648" w:rsidRPr="00A10B54">
        <w:rPr>
          <w:i/>
        </w:rPr>
        <w:t>overdue</w:t>
      </w:r>
      <w:r w:rsidR="00CB2648">
        <w:t xml:space="preserve"> : en </w:t>
      </w:r>
      <w:r w:rsidR="00E549D0">
        <w:t>retard)</w:t>
      </w:r>
      <w:r w:rsidR="00CB2648">
        <w:t>.</w:t>
      </w:r>
    </w:p>
    <w:p w:rsidR="00A10B54" w:rsidRDefault="00A10B54" w:rsidP="001723C5">
      <w:r>
        <w:t>Conscients</w:t>
      </w:r>
      <w:r w:rsidR="0029185A">
        <w:t xml:space="preserve"> que les précautions habituelles sont dérisoires face au Big One</w:t>
      </w:r>
      <w:r w:rsidR="00CB2648">
        <w:t>, les Angelenos</w:t>
      </w:r>
      <w:r w:rsidR="0029185A">
        <w:t xml:space="preserve"> ne s’en émeuvent </w:t>
      </w:r>
      <w:r>
        <w:t>pas pour autant</w:t>
      </w:r>
      <w:r w:rsidR="000258A2">
        <w:rPr>
          <w:rStyle w:val="Marquenotebasdepage"/>
        </w:rPr>
        <w:footnoteReference w:id="11"/>
      </w:r>
      <w:r w:rsidR="0029185A">
        <w:t>.</w:t>
      </w:r>
      <w:r w:rsidR="000258A2">
        <w:t xml:space="preserve"> </w:t>
      </w:r>
    </w:p>
    <w:p w:rsidR="00B876F9" w:rsidRDefault="00A10B54" w:rsidP="001723C5">
      <w:r>
        <w:t>D’un point de vue pragmatiste, c</w:t>
      </w:r>
      <w:r w:rsidR="000258A2">
        <w:t xml:space="preserve">e comportement </w:t>
      </w:r>
      <w:r>
        <w:t>est</w:t>
      </w:r>
      <w:r w:rsidR="000258A2">
        <w:t xml:space="preserve"> rationnel. À quoi bon s’émouvoir d’un événement sur lequel </w:t>
      </w:r>
      <w:r>
        <w:t xml:space="preserve">on n’a pas de </w:t>
      </w:r>
      <w:r w:rsidR="00F60596">
        <w:t>prise ?</w:t>
      </w:r>
      <w:r w:rsidR="00AB7780">
        <w:rPr>
          <w:rStyle w:val="Marquenotebasdepage"/>
        </w:rPr>
        <w:footnoteReference w:id="12"/>
      </w:r>
      <w:r w:rsidR="000258A2">
        <w:t xml:space="preserve">. </w:t>
      </w:r>
      <w:r w:rsidR="00742DFA">
        <w:t>C</w:t>
      </w:r>
      <w:r w:rsidR="00720B94">
        <w:t>ette pos</w:t>
      </w:r>
      <w:r w:rsidR="00742DFA">
        <w:t>ition</w:t>
      </w:r>
      <w:r w:rsidR="00720B94">
        <w:t xml:space="preserve"> </w:t>
      </w:r>
      <w:r w:rsidR="00F60596">
        <w:t>n’est pas une manifestation d’un</w:t>
      </w:r>
      <w:r w:rsidR="00720B94">
        <w:t xml:space="preserve"> épouvantable matérialisme yankee</w:t>
      </w:r>
      <w:r w:rsidR="00742DFA">
        <w:t xml:space="preserve">. </w:t>
      </w:r>
      <w:r w:rsidR="00F60596">
        <w:t xml:space="preserve">Le bon sens veut que lorsqu’on est parfaitement impuissant devant un événement on évite de s’en soucier. C’était l’avis </w:t>
      </w:r>
      <w:r w:rsidR="00742DFA">
        <w:t xml:space="preserve">du </w:t>
      </w:r>
      <w:r w:rsidR="00720B94">
        <w:t>plus français des Genevois, Jean-Jacques Rousseau</w:t>
      </w:r>
      <w:r w:rsidR="00742DFA">
        <w:t> :</w:t>
      </w:r>
      <w:r w:rsidR="00720B94">
        <w:t xml:space="preserve"> « </w:t>
      </w:r>
      <w:r w:rsidR="00720B94" w:rsidRPr="00720B94">
        <w:rPr>
          <w:i/>
        </w:rPr>
        <w:t>La sagesse ne consiste pas à prendre indifféremment toutes sortes de précautions, mais à choisir celles qui sont utiles et à négliger les superflues </w:t>
      </w:r>
      <w:r w:rsidR="00720B94">
        <w:t>»</w:t>
      </w:r>
      <w:r w:rsidR="004903CC">
        <w:rPr>
          <w:rStyle w:val="Marquenotebasdepage"/>
        </w:rPr>
        <w:footnoteReference w:id="13"/>
      </w:r>
      <w:r w:rsidR="00B8128C">
        <w:t>.</w:t>
      </w:r>
    </w:p>
    <w:p w:rsidR="00B876F9" w:rsidRDefault="00AB7780" w:rsidP="001723C5">
      <w:r>
        <w:br w:type="page"/>
      </w:r>
    </w:p>
    <w:p w:rsidR="00B876F9" w:rsidRDefault="00B876F9" w:rsidP="00440BB0">
      <w:pPr>
        <w:pStyle w:val="Titre2"/>
      </w:pPr>
      <w:bookmarkStart w:id="15" w:name="_Toc212608270"/>
      <w:bookmarkStart w:id="16" w:name="_Toc212608755"/>
      <w:r>
        <w:t>Bibliographie</w:t>
      </w:r>
      <w:bookmarkEnd w:id="15"/>
      <w:bookmarkEnd w:id="16"/>
    </w:p>
    <w:p w:rsidR="00A876BD" w:rsidRDefault="00267FB6" w:rsidP="001C038B">
      <w:pPr>
        <w:pStyle w:val="Bibliographie"/>
      </w:pPr>
      <w:r>
        <w:t xml:space="preserve">Beck U, </w:t>
      </w:r>
      <w:r w:rsidR="00674254" w:rsidRPr="00066EF9">
        <w:rPr>
          <w:i/>
        </w:rPr>
        <w:t>La S</w:t>
      </w:r>
      <w:r w:rsidRPr="00066EF9">
        <w:rPr>
          <w:i/>
        </w:rPr>
        <w:t>ociété du risque. Sur la voie d’une autre modernité</w:t>
      </w:r>
      <w:r>
        <w:t>, Coll. Champs, éd. Flammarion 2001.</w:t>
      </w:r>
    </w:p>
    <w:p w:rsidR="00267FB6" w:rsidRDefault="00A876BD" w:rsidP="001C038B">
      <w:pPr>
        <w:pStyle w:val="Bibliographie"/>
      </w:pPr>
      <w:r w:rsidRPr="006511E3">
        <w:t>Braudel</w:t>
      </w:r>
      <w:r>
        <w:t xml:space="preserve"> F, </w:t>
      </w:r>
      <w:r w:rsidRPr="00A876BD">
        <w:rPr>
          <w:i/>
        </w:rPr>
        <w:t>Civilisation matérielle, économie et capitalisme, XVe – XVIIIe siècle,</w:t>
      </w:r>
      <w:r>
        <w:rPr>
          <w:i/>
        </w:rPr>
        <w:t xml:space="preserve"> </w:t>
      </w:r>
      <w:r w:rsidR="00A3476C">
        <w:t>t</w:t>
      </w:r>
      <w:r w:rsidRPr="00A3476C">
        <w:t>ome</w:t>
      </w:r>
      <w:r w:rsidRPr="00A876BD">
        <w:rPr>
          <w:i/>
        </w:rPr>
        <w:t xml:space="preserve"> </w:t>
      </w:r>
      <w:r w:rsidRPr="00A3476C">
        <w:t>2</w:t>
      </w:r>
      <w:r w:rsidR="00A3476C">
        <w:t xml:space="preserve">, </w:t>
      </w:r>
      <w:r w:rsidR="00674254">
        <w:rPr>
          <w:i/>
        </w:rPr>
        <w:t>Les J</w:t>
      </w:r>
      <w:r w:rsidRPr="00A876BD">
        <w:rPr>
          <w:i/>
        </w:rPr>
        <w:t>eux de l’échange</w:t>
      </w:r>
      <w:r w:rsidR="00A3476C">
        <w:t>, coll. Livre de poche/</w:t>
      </w:r>
      <w:r>
        <w:t>références, éd. Armand Colin, 1980.</w:t>
      </w:r>
    </w:p>
    <w:p w:rsidR="00A3476C" w:rsidRDefault="00267FB6" w:rsidP="001C038B">
      <w:pPr>
        <w:pStyle w:val="Bibliographie"/>
      </w:pPr>
      <w:r>
        <w:t xml:space="preserve">Bronner G. &amp; Géhin </w:t>
      </w:r>
      <w:r w:rsidRPr="00267FB6">
        <w:rPr>
          <w:caps/>
        </w:rPr>
        <w:t>é</w:t>
      </w:r>
      <w:r>
        <w:t xml:space="preserve">, </w:t>
      </w:r>
      <w:r w:rsidR="00066EF9">
        <w:rPr>
          <w:i/>
        </w:rPr>
        <w:t>L’I</w:t>
      </w:r>
      <w:r w:rsidRPr="00267FB6">
        <w:rPr>
          <w:i/>
        </w:rPr>
        <w:t>nquiétant principe de précaution</w:t>
      </w:r>
      <w:r>
        <w:t>, coll. Quadrige, éd. PUF, 2010.</w:t>
      </w:r>
    </w:p>
    <w:p w:rsidR="00A3476C" w:rsidRDefault="00A3476C" w:rsidP="001C038B">
      <w:pPr>
        <w:pStyle w:val="Bibliographie"/>
      </w:pPr>
      <w:r>
        <w:t xml:space="preserve">Comité exécutif du Club de Rome, </w:t>
      </w:r>
      <w:r w:rsidRPr="00182BB5">
        <w:rPr>
          <w:i/>
        </w:rPr>
        <w:t>Le</w:t>
      </w:r>
      <w:r>
        <w:t xml:space="preserve"> </w:t>
      </w:r>
      <w:r w:rsidRPr="00513E11">
        <w:rPr>
          <w:i/>
        </w:rPr>
        <w:t>Rapport de Tokyo sur l’homme et la croissance</w:t>
      </w:r>
      <w:r>
        <w:t>, éd. Seuil, 1974.</w:t>
      </w:r>
    </w:p>
    <w:p w:rsidR="00267FB6" w:rsidRPr="001723C5" w:rsidRDefault="00A3476C" w:rsidP="001C038B">
      <w:pPr>
        <w:pStyle w:val="Bibliographie"/>
      </w:pPr>
      <w:r w:rsidRPr="00013164">
        <w:rPr>
          <w:lang w:val="en-US"/>
        </w:rPr>
        <w:t>Donnet</w:t>
      </w:r>
      <w:r>
        <w:rPr>
          <w:lang w:val="en-US"/>
        </w:rPr>
        <w:t xml:space="preserve"> P-A, </w:t>
      </w:r>
      <w:r w:rsidR="00674254">
        <w:rPr>
          <w:i/>
          <w:lang w:val="en-US"/>
        </w:rPr>
        <w:t>La S</w:t>
      </w:r>
      <w:r w:rsidRPr="00013164">
        <w:rPr>
          <w:i/>
          <w:lang w:val="en-US"/>
        </w:rPr>
        <w:t>aga Michelin</w:t>
      </w:r>
      <w:r w:rsidRPr="00013164">
        <w:rPr>
          <w:lang w:val="en-US"/>
        </w:rPr>
        <w:t>, éd. Seuil, 2008</w:t>
      </w:r>
      <w:r>
        <w:rPr>
          <w:lang w:val="en-US"/>
        </w:rPr>
        <w:t>.</w:t>
      </w:r>
    </w:p>
    <w:p w:rsidR="00B8128C" w:rsidRDefault="00B876F9" w:rsidP="001C038B">
      <w:pPr>
        <w:pStyle w:val="Bibliographie"/>
      </w:pPr>
      <w:r>
        <w:t>Ewald F. (</w:t>
      </w:r>
      <w:r w:rsidR="00267FB6">
        <w:t>Dir.</w:t>
      </w:r>
      <w:r>
        <w:t xml:space="preserve">) </w:t>
      </w:r>
      <w:r w:rsidR="00674254">
        <w:rPr>
          <w:i/>
        </w:rPr>
        <w:t>Aux R</w:t>
      </w:r>
      <w:r w:rsidRPr="00267FB6">
        <w:rPr>
          <w:i/>
        </w:rPr>
        <w:t>isques d’innover. Les entreprises face au principe de précaution</w:t>
      </w:r>
      <w:r w:rsidR="00267FB6">
        <w:t>, éd. Autrement, 2009.</w:t>
      </w:r>
    </w:p>
    <w:p w:rsidR="001C038B" w:rsidRDefault="00B8128C" w:rsidP="001C038B">
      <w:pPr>
        <w:pStyle w:val="Bibliographie"/>
      </w:pPr>
      <w:r>
        <w:t xml:space="preserve">Drucker P, </w:t>
      </w:r>
      <w:r w:rsidRPr="00B8128C">
        <w:rPr>
          <w:i/>
          <w:caps/>
        </w:rPr>
        <w:t>à</w:t>
      </w:r>
      <w:r w:rsidRPr="00B8128C">
        <w:rPr>
          <w:i/>
        </w:rPr>
        <w:t xml:space="preserve"> propos du management</w:t>
      </w:r>
      <w:r>
        <w:t>, éd. Village mondial, 2000</w:t>
      </w:r>
      <w:r w:rsidR="001C038B">
        <w:t>.</w:t>
      </w:r>
    </w:p>
    <w:p w:rsidR="00A47993" w:rsidRDefault="001C038B" w:rsidP="001C038B">
      <w:pPr>
        <w:pStyle w:val="Bibliographie"/>
      </w:pPr>
      <w:r>
        <w:t xml:space="preserve">Foucault M, </w:t>
      </w:r>
      <w:r w:rsidRPr="001C038B">
        <w:rPr>
          <w:i/>
        </w:rPr>
        <w:t>Histoire de la folie à l’âge classique</w:t>
      </w:r>
      <w:r>
        <w:t>, Gallimard, 1972.</w:t>
      </w:r>
    </w:p>
    <w:p w:rsidR="00267FB6" w:rsidRDefault="00A47993" w:rsidP="001C038B">
      <w:pPr>
        <w:pStyle w:val="Bibliographie"/>
      </w:pPr>
      <w:r>
        <w:rPr>
          <w:lang w:val="en-US"/>
        </w:rPr>
        <w:t>Friedmann M,</w:t>
      </w:r>
      <w:r w:rsidRPr="00013164">
        <w:rPr>
          <w:i/>
          <w:lang w:val="en-US"/>
        </w:rPr>
        <w:t xml:space="preserve"> Capitalism and Freedom</w:t>
      </w:r>
      <w:r w:rsidRPr="00013164">
        <w:rPr>
          <w:lang w:val="en-US"/>
        </w:rPr>
        <w:t>, éd. University of Chicago Press, 1962</w:t>
      </w:r>
      <w:r>
        <w:rPr>
          <w:lang w:val="en-US"/>
        </w:rPr>
        <w:t>.</w:t>
      </w:r>
    </w:p>
    <w:p w:rsidR="00267FB6" w:rsidRDefault="00267FB6" w:rsidP="001C038B">
      <w:pPr>
        <w:pStyle w:val="Bibliographie"/>
      </w:pPr>
      <w:r>
        <w:t xml:space="preserve">Gimpel J, </w:t>
      </w:r>
      <w:r w:rsidR="00674254">
        <w:rPr>
          <w:i/>
        </w:rPr>
        <w:t>La R</w:t>
      </w:r>
      <w:r w:rsidRPr="00267FB6">
        <w:rPr>
          <w:i/>
        </w:rPr>
        <w:t>évolution industrielle du Moyen Âge</w:t>
      </w:r>
      <w:r>
        <w:t>, coll. Points, Seuil, 1975.</w:t>
      </w:r>
    </w:p>
    <w:p w:rsidR="00887520" w:rsidRDefault="00887520" w:rsidP="001C038B">
      <w:pPr>
        <w:pStyle w:val="Bibliographie"/>
      </w:pPr>
      <w:r>
        <w:t xml:space="preserve">James W, </w:t>
      </w:r>
      <w:r w:rsidRPr="00887520">
        <w:rPr>
          <w:i/>
        </w:rPr>
        <w:t xml:space="preserve">Le </w:t>
      </w:r>
      <w:r w:rsidR="00066EF9">
        <w:rPr>
          <w:i/>
        </w:rPr>
        <w:t>P</w:t>
      </w:r>
      <w:r w:rsidRPr="00887520">
        <w:rPr>
          <w:i/>
        </w:rPr>
        <w:t>ragmatisme</w:t>
      </w:r>
      <w:r>
        <w:t>, coll. Champs, Flammarion, 2007.</w:t>
      </w:r>
    </w:p>
    <w:p w:rsidR="00126AE5" w:rsidRDefault="00A3476C" w:rsidP="001C038B">
      <w:pPr>
        <w:pStyle w:val="Bibliographie"/>
      </w:pPr>
      <w:r>
        <w:t>Meadows DH &amp; DL, Randers J &amp; Behrens</w:t>
      </w:r>
      <w:r w:rsidRPr="00513E11">
        <w:rPr>
          <w:i/>
        </w:rPr>
        <w:t xml:space="preserve"> </w:t>
      </w:r>
      <w:r>
        <w:t xml:space="preserve">WW, </w:t>
      </w:r>
      <w:r w:rsidRPr="00513E11">
        <w:rPr>
          <w:i/>
        </w:rPr>
        <w:t>The Limits to Growth</w:t>
      </w:r>
      <w:r>
        <w:t xml:space="preserve">, éd. Universe Books, New York, 1972. (trad. française : </w:t>
      </w:r>
      <w:r w:rsidRPr="00182BB5">
        <w:rPr>
          <w:i/>
        </w:rPr>
        <w:t>Halte à la croissance ?</w:t>
      </w:r>
      <w:r>
        <w:t xml:space="preserve"> éd. Fayard 1973).</w:t>
      </w:r>
    </w:p>
    <w:p w:rsidR="00F309DA" w:rsidRDefault="00126AE5" w:rsidP="001C038B">
      <w:pPr>
        <w:pStyle w:val="Bibliographie"/>
      </w:pPr>
      <w:r>
        <w:t xml:space="preserve">Méric J, Pesqueux Y, Solé A, </w:t>
      </w:r>
      <w:r w:rsidRPr="00126AE5">
        <w:rPr>
          <w:i/>
        </w:rPr>
        <w:t>La « Société du risque » : analyse et critique</w:t>
      </w:r>
      <w:r>
        <w:t>, Coll. Gestion, éd. Economica, 2009.</w:t>
      </w:r>
    </w:p>
    <w:p w:rsidR="001C038B" w:rsidRDefault="00F309DA" w:rsidP="001C038B">
      <w:pPr>
        <w:pStyle w:val="Bibliographie"/>
      </w:pPr>
      <w:r>
        <w:t xml:space="preserve">Mousli M, </w:t>
      </w:r>
      <w:r w:rsidRPr="00F309DA">
        <w:rPr>
          <w:i/>
        </w:rPr>
        <w:t>Les Grandes figures du management</w:t>
      </w:r>
      <w:r>
        <w:t>, coll. Alternatives économiques, éd. Les Petits matins, 2010.</w:t>
      </w:r>
    </w:p>
    <w:p w:rsidR="00A3476C" w:rsidRDefault="001C038B" w:rsidP="001C038B">
      <w:pPr>
        <w:pStyle w:val="Bibliographie"/>
      </w:pPr>
      <w:r>
        <w:t xml:space="preserve">Paquot T &amp; Bédarida M, </w:t>
      </w:r>
      <w:r w:rsidRPr="001C038B">
        <w:rPr>
          <w:i/>
        </w:rPr>
        <w:t>Habiter l’utopie. Le Familistère Godin à Guise</w:t>
      </w:r>
      <w:r>
        <w:t>, éditions de La Villette, Paris, 1982.</w:t>
      </w:r>
    </w:p>
    <w:p w:rsidR="001C038B" w:rsidRDefault="00267FB6" w:rsidP="001C038B">
      <w:pPr>
        <w:pStyle w:val="Bibliographie"/>
      </w:pPr>
      <w:r>
        <w:t xml:space="preserve">Peretti-Watel &amp; Jean-Paul Moatti, </w:t>
      </w:r>
      <w:r w:rsidR="00066EF9">
        <w:rPr>
          <w:i/>
        </w:rPr>
        <w:t>Le P</w:t>
      </w:r>
      <w:r w:rsidRPr="00267FB6">
        <w:rPr>
          <w:i/>
        </w:rPr>
        <w:t>rincipe de prévention. Le culte de la santé et ses dérives</w:t>
      </w:r>
      <w:r>
        <w:t>, coll. La République des idées, éd. Seuil, 2009.</w:t>
      </w:r>
    </w:p>
    <w:p w:rsidR="00267FB6" w:rsidRDefault="001C038B" w:rsidP="001C038B">
      <w:pPr>
        <w:pStyle w:val="Bibliographie"/>
      </w:pPr>
      <w:r>
        <w:t xml:space="preserve">Poitrinal G, </w:t>
      </w:r>
      <w:r w:rsidRPr="001C038B">
        <w:rPr>
          <w:i/>
        </w:rPr>
        <w:t>Plus vite. La France malade de son temps</w:t>
      </w:r>
      <w:r>
        <w:t>, Grasset, 2012.</w:t>
      </w:r>
    </w:p>
    <w:p w:rsidR="004903CC" w:rsidRDefault="00B05BAD" w:rsidP="001C038B">
      <w:pPr>
        <w:pStyle w:val="Bibliographie"/>
      </w:pPr>
      <w:r>
        <w:t>Poulot D,</w:t>
      </w:r>
      <w:r w:rsidRPr="00D87E02">
        <w:rPr>
          <w:i/>
        </w:rPr>
        <w:t xml:space="preserve"> Le Sublime Ou Le Travailleur Comme Il Est En 1870 Et Ce Qu’il Peut </w:t>
      </w:r>
      <w:proofErr w:type="spellStart"/>
      <w:r w:rsidRPr="00D87E02">
        <w:rPr>
          <w:i/>
          <w:caps/>
        </w:rPr>
        <w:t>è</w:t>
      </w:r>
      <w:r w:rsidRPr="00D87E02">
        <w:rPr>
          <w:i/>
        </w:rPr>
        <w:t>tre</w:t>
      </w:r>
      <w:proofErr w:type="spellEnd"/>
      <w:r w:rsidR="00C73EAE">
        <w:rPr>
          <w:i/>
        </w:rPr>
        <w:t xml:space="preserve"> (sic)</w:t>
      </w:r>
      <w:r>
        <w:t>, éd. Librairie internationale, 1870</w:t>
      </w:r>
      <w:r w:rsidR="004903CC">
        <w:t>.</w:t>
      </w:r>
    </w:p>
    <w:p w:rsidR="005B0DF7" w:rsidRDefault="004903CC" w:rsidP="005B0DF7">
      <w:pPr>
        <w:pStyle w:val="Bibliographie"/>
      </w:pPr>
      <w:r>
        <w:t xml:space="preserve">Rousseau J-J, </w:t>
      </w:r>
      <w:r w:rsidRPr="004903CC">
        <w:rPr>
          <w:i/>
        </w:rPr>
        <w:t>Julie ou la Nouvelle Héloïse</w:t>
      </w:r>
      <w:r>
        <w:t xml:space="preserve">, </w:t>
      </w:r>
      <w:r w:rsidRPr="004903CC">
        <w:rPr>
          <w:i/>
        </w:rPr>
        <w:t>Lettres de deux amants habitants</w:t>
      </w:r>
      <w:r>
        <w:rPr>
          <w:i/>
        </w:rPr>
        <w:t xml:space="preserve"> </w:t>
      </w:r>
      <w:r w:rsidRPr="004903CC">
        <w:rPr>
          <w:i/>
        </w:rPr>
        <w:t>d’une petite ville au pied des Alpes</w:t>
      </w:r>
      <w:r>
        <w:t xml:space="preserve">, </w:t>
      </w:r>
      <w:r w:rsidRPr="004903CC">
        <w:t>Amsterdam, chez Marc</w:t>
      </w:r>
      <w:r>
        <w:t>-Michel Rey, 1761</w:t>
      </w:r>
    </w:p>
    <w:p w:rsidR="00E214DB" w:rsidRDefault="00E214DB" w:rsidP="005B0DF7">
      <w:pPr>
        <w:pStyle w:val="Bibliographie"/>
      </w:pPr>
      <w:r w:rsidRPr="00E214DB">
        <w:t>Schumpeter</w:t>
      </w:r>
      <w:r>
        <w:t xml:space="preserve"> J,</w:t>
      </w:r>
      <w:r w:rsidRPr="00E214DB">
        <w:rPr>
          <w:i/>
        </w:rPr>
        <w:t xml:space="preserve"> Théorie de l’évolution économique</w:t>
      </w:r>
      <w:r w:rsidRPr="00E214DB">
        <w:t>, Dalloz, 1911</w:t>
      </w:r>
    </w:p>
    <w:p w:rsidR="005B0DF7" w:rsidRDefault="005B0DF7" w:rsidP="005B0DF7">
      <w:pPr>
        <w:pStyle w:val="Bibliographie"/>
      </w:pPr>
      <w:r>
        <w:t>Taleb N,</w:t>
      </w:r>
      <w:r w:rsidRPr="005B0DF7">
        <w:t xml:space="preserve"> </w:t>
      </w:r>
      <w:r w:rsidRPr="005B0DF7">
        <w:rPr>
          <w:i/>
        </w:rPr>
        <w:t>Le Cygne noir. La puissance de l’imprévisible</w:t>
      </w:r>
      <w:r>
        <w:t>, Les Belles lettres, 2008</w:t>
      </w:r>
    </w:p>
    <w:p w:rsidR="00267FB6" w:rsidRPr="005B0DF7" w:rsidRDefault="00267FB6" w:rsidP="005B0DF7">
      <w:pPr>
        <w:pStyle w:val="Bibliographie"/>
      </w:pPr>
    </w:p>
    <w:sectPr w:rsidR="00267FB6" w:rsidRPr="005B0DF7" w:rsidSect="00557F18">
      <w:footerReference w:type="even" r:id="rId6"/>
      <w:footerReference w:type="default" r:id="rId7"/>
      <w:pgSz w:w="11900" w:h="16840"/>
      <w:pgMar w:top="1531" w:right="1588" w:bottom="1531" w:left="158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D0" w:rsidRDefault="00E43541" w:rsidP="00134B28">
    <w:pPr>
      <w:pStyle w:val="Pieddepage"/>
      <w:framePr w:wrap="around" w:vAnchor="text" w:hAnchor="margin" w:xAlign="right" w:y="1"/>
      <w:rPr>
        <w:rStyle w:val="Numrodepage"/>
      </w:rPr>
    </w:pPr>
    <w:r>
      <w:rPr>
        <w:rStyle w:val="Numrodepage"/>
      </w:rPr>
      <w:fldChar w:fldCharType="begin"/>
    </w:r>
    <w:r w:rsidR="00E549D0">
      <w:rPr>
        <w:rStyle w:val="Numrodepage"/>
      </w:rPr>
      <w:instrText xml:space="preserve">PAGE  </w:instrText>
    </w:r>
    <w:r>
      <w:rPr>
        <w:rStyle w:val="Numrodepage"/>
      </w:rPr>
      <w:fldChar w:fldCharType="end"/>
    </w:r>
  </w:p>
  <w:p w:rsidR="00E549D0" w:rsidRDefault="00E549D0" w:rsidP="00134B28">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D0" w:rsidRDefault="00E43541" w:rsidP="00134B28">
    <w:pPr>
      <w:pStyle w:val="Pieddepage"/>
      <w:framePr w:wrap="around" w:vAnchor="text" w:hAnchor="margin" w:xAlign="right" w:y="1"/>
      <w:rPr>
        <w:rStyle w:val="Numrodepage"/>
      </w:rPr>
    </w:pPr>
    <w:r>
      <w:rPr>
        <w:rStyle w:val="Numrodepage"/>
      </w:rPr>
      <w:fldChar w:fldCharType="begin"/>
    </w:r>
    <w:r w:rsidR="00E549D0">
      <w:rPr>
        <w:rStyle w:val="Numrodepage"/>
      </w:rPr>
      <w:instrText xml:space="preserve">PAGE  </w:instrText>
    </w:r>
    <w:r>
      <w:rPr>
        <w:rStyle w:val="Numrodepage"/>
      </w:rPr>
      <w:fldChar w:fldCharType="separate"/>
    </w:r>
    <w:r w:rsidR="00C73EAE">
      <w:rPr>
        <w:rStyle w:val="Numrodepage"/>
        <w:noProof/>
      </w:rPr>
      <w:t>10</w:t>
    </w:r>
    <w:r>
      <w:rPr>
        <w:rStyle w:val="Numrodepage"/>
      </w:rPr>
      <w:fldChar w:fldCharType="end"/>
    </w:r>
  </w:p>
  <w:p w:rsidR="00E549D0" w:rsidRDefault="00E549D0" w:rsidP="00134B28">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549D0" w:rsidRDefault="00E549D0">
      <w:pPr>
        <w:pStyle w:val="Notedebasdepage"/>
      </w:pPr>
      <w:r>
        <w:rPr>
          <w:rStyle w:val="Marquenotebasdepage"/>
        </w:rPr>
        <w:footnoteRef/>
      </w:r>
      <w:r>
        <w:t xml:space="preserve"> Marc Mousli est consultant. </w:t>
      </w:r>
      <w:r w:rsidRPr="00137B2B">
        <w:rPr>
          <w:caps/>
        </w:rPr>
        <w:t>é</w:t>
      </w:r>
      <w:r>
        <w:t xml:space="preserve">conomiste et prospectiviste (CNAM), il s’intéresse aux méthodes de la prospective et à l’histoire du management. Il collabore régulièrement au magazine </w:t>
      </w:r>
      <w:r w:rsidRPr="00137B2B">
        <w:rPr>
          <w:b/>
          <w:i/>
        </w:rPr>
        <w:t>Alternatives économiques</w:t>
      </w:r>
      <w:r>
        <w:t xml:space="preserve">. </w:t>
      </w:r>
    </w:p>
  </w:footnote>
  <w:footnote w:id="0">
    <w:p w:rsidR="00E549D0" w:rsidRDefault="00E549D0">
      <w:pPr>
        <w:pStyle w:val="Notedebasdepage"/>
      </w:pPr>
      <w:r>
        <w:rPr>
          <w:rStyle w:val="Marquenotebasdepage"/>
        </w:rPr>
        <w:footnoteRef/>
      </w:r>
      <w:r>
        <w:t xml:space="preserve"> Édit royal du 27 avril 1656. Cf. Foucault (1972).</w:t>
      </w:r>
    </w:p>
  </w:footnote>
  <w:footnote w:id="1">
    <w:p w:rsidR="00E549D0" w:rsidRPr="00D87E02" w:rsidRDefault="00E549D0">
      <w:pPr>
        <w:pStyle w:val="Notedebasdepage"/>
      </w:pPr>
      <w:r>
        <w:rPr>
          <w:rStyle w:val="Marquenotebasdepage"/>
        </w:rPr>
        <w:footnoteRef/>
      </w:r>
      <w:r>
        <w:t xml:space="preserve"> Poulot (1870), p.343.</w:t>
      </w:r>
    </w:p>
  </w:footnote>
  <w:footnote w:id="2">
    <w:p w:rsidR="00E549D0" w:rsidRDefault="00E549D0">
      <w:pPr>
        <w:pStyle w:val="Notedebasdepage"/>
      </w:pPr>
      <w:r>
        <w:rPr>
          <w:rStyle w:val="Marquenotebasdepage"/>
        </w:rPr>
        <w:footnoteRef/>
      </w:r>
      <w:r>
        <w:t xml:space="preserve"> On remarquera le peu d’empressement de la France à se saisir de ces questions. En 1928, l’OIT préconisait déjà la mise en place de « Comités paritaires de sécurité ».</w:t>
      </w:r>
    </w:p>
  </w:footnote>
  <w:footnote w:id="3">
    <w:p w:rsidR="00E549D0" w:rsidRPr="00013164" w:rsidRDefault="00E549D0" w:rsidP="00EF0ED6">
      <w:pPr>
        <w:pStyle w:val="Notedebasdepage"/>
        <w:rPr>
          <w:lang w:val="en-US"/>
        </w:rPr>
      </w:pPr>
      <w:r>
        <w:rPr>
          <w:rStyle w:val="Marquenotebasdepage"/>
        </w:rPr>
        <w:footnoteRef/>
      </w:r>
      <w:r>
        <w:t xml:space="preserve"> </w:t>
      </w:r>
      <w:proofErr w:type="spellStart"/>
      <w:r>
        <w:rPr>
          <w:lang w:val="en-US"/>
        </w:rPr>
        <w:t>Donnet</w:t>
      </w:r>
      <w:proofErr w:type="spellEnd"/>
      <w:r w:rsidRPr="00013164">
        <w:rPr>
          <w:lang w:val="en-US"/>
        </w:rPr>
        <w:t xml:space="preserve">, 2008 </w:t>
      </w:r>
    </w:p>
  </w:footnote>
  <w:footnote w:id="4">
    <w:p w:rsidR="00E549D0" w:rsidRPr="00013164" w:rsidRDefault="00E549D0" w:rsidP="007E4C80">
      <w:pPr>
        <w:pStyle w:val="Notedebasdepage"/>
        <w:rPr>
          <w:lang w:val="en-US"/>
        </w:rPr>
      </w:pPr>
      <w:r w:rsidRPr="00013164">
        <w:rPr>
          <w:rStyle w:val="Marquenotebasdepage"/>
          <w:lang w:val="en-US"/>
        </w:rPr>
        <w:footnoteRef/>
      </w:r>
      <w:r>
        <w:rPr>
          <w:lang w:val="en-US"/>
        </w:rPr>
        <w:t xml:space="preserve"> Article du </w:t>
      </w:r>
      <w:r w:rsidRPr="0091108B">
        <w:rPr>
          <w:i/>
        </w:rPr>
        <w:t>New York Times Magazine</w:t>
      </w:r>
      <w:r>
        <w:t xml:space="preserve"> du</w:t>
      </w:r>
      <w:r w:rsidRPr="0091108B">
        <w:t xml:space="preserve"> </w:t>
      </w:r>
      <w:r>
        <w:t xml:space="preserve">13 </w:t>
      </w:r>
      <w:r w:rsidRPr="0091108B">
        <w:t>Septemb</w:t>
      </w:r>
      <w:r>
        <w:t>re</w:t>
      </w:r>
      <w:r w:rsidRPr="0091108B">
        <w:t xml:space="preserve"> 1970</w:t>
      </w:r>
      <w:r>
        <w:t xml:space="preserve">. Friedmann y développe la thèse suivante : </w:t>
      </w:r>
      <w:r w:rsidRPr="00013164">
        <w:rPr>
          <w:lang w:val="en-US"/>
        </w:rPr>
        <w:t>« </w:t>
      </w:r>
      <w:r w:rsidRPr="00013164">
        <w:rPr>
          <w:i/>
          <w:lang w:val="en-US"/>
        </w:rPr>
        <w:t>There is one and only one social responsibility of business – to use it</w:t>
      </w:r>
      <w:r>
        <w:rPr>
          <w:i/>
          <w:lang w:val="en-US"/>
        </w:rPr>
        <w:t>s</w:t>
      </w:r>
      <w:r w:rsidRPr="00013164">
        <w:rPr>
          <w:i/>
          <w:lang w:val="en-US"/>
        </w:rPr>
        <w:t xml:space="preserve"> resources and engage in activities designed to increase its profits so long as it stays within the rules of the game, which is to say, engages in open and free competi</w:t>
      </w:r>
      <w:r>
        <w:rPr>
          <w:i/>
          <w:lang w:val="en-US"/>
        </w:rPr>
        <w:t>tion without deception or fraud</w:t>
      </w:r>
      <w:r w:rsidRPr="00013164">
        <w:rPr>
          <w:i/>
          <w:lang w:val="en-US"/>
        </w:rPr>
        <w:t> </w:t>
      </w:r>
      <w:r w:rsidRPr="00013164">
        <w:rPr>
          <w:lang w:val="en-US"/>
        </w:rPr>
        <w:t>»</w:t>
      </w:r>
      <w:r>
        <w:rPr>
          <w:lang w:val="en-US"/>
        </w:rPr>
        <w:t xml:space="preserve">. Cf. </w:t>
      </w:r>
      <w:r>
        <w:t xml:space="preserve">également </w:t>
      </w:r>
      <w:proofErr w:type="spellStart"/>
      <w:r>
        <w:rPr>
          <w:lang w:val="en-US"/>
        </w:rPr>
        <w:t>Friedmann</w:t>
      </w:r>
      <w:proofErr w:type="spellEnd"/>
      <w:r>
        <w:rPr>
          <w:lang w:val="en-US"/>
        </w:rPr>
        <w:t xml:space="preserve"> (</w:t>
      </w:r>
      <w:r w:rsidRPr="00013164">
        <w:rPr>
          <w:lang w:val="en-US"/>
        </w:rPr>
        <w:t>1962</w:t>
      </w:r>
      <w:r>
        <w:rPr>
          <w:lang w:val="en-US"/>
        </w:rPr>
        <w:t>).</w:t>
      </w:r>
    </w:p>
  </w:footnote>
  <w:footnote w:id="5">
    <w:p w:rsidR="00E549D0" w:rsidRDefault="00E549D0">
      <w:pPr>
        <w:pStyle w:val="Notedebasdepage"/>
      </w:pPr>
      <w:r>
        <w:rPr>
          <w:rStyle w:val="Marquenotebasdepage"/>
        </w:rPr>
        <w:footnoteRef/>
      </w:r>
      <w:r>
        <w:t xml:space="preserve"> Cf. la communication de Jacques </w:t>
      </w:r>
      <w:proofErr w:type="spellStart"/>
      <w:r>
        <w:t>Igalens</w:t>
      </w:r>
      <w:proofErr w:type="spellEnd"/>
      <w:r>
        <w:t xml:space="preserve"> et </w:t>
      </w:r>
      <w:proofErr w:type="spellStart"/>
      <w:r>
        <w:t>Laïla</w:t>
      </w:r>
      <w:proofErr w:type="spellEnd"/>
      <w:r>
        <w:t xml:space="preserve"> </w:t>
      </w:r>
      <w:proofErr w:type="spellStart"/>
      <w:r>
        <w:t>Benraiss</w:t>
      </w:r>
      <w:proofErr w:type="spellEnd"/>
      <w:r>
        <w:t xml:space="preserve">, </w:t>
      </w:r>
      <w:r w:rsidRPr="004569D7">
        <w:rPr>
          <w:i/>
        </w:rPr>
        <w:t>Aux fondements de l’audit social : Howard R. Bowen et les églises protestantes</w:t>
      </w:r>
      <w:r>
        <w:t>, U</w:t>
      </w:r>
      <w:r w:rsidRPr="004569D7">
        <w:t xml:space="preserve">niversité d'été de l’IAS, </w:t>
      </w:r>
      <w:r>
        <w:t>Lille, septembre</w:t>
      </w:r>
      <w:r w:rsidRPr="004569D7">
        <w:t xml:space="preserve"> </w:t>
      </w:r>
      <w:r>
        <w:t>2005.</w:t>
      </w:r>
    </w:p>
  </w:footnote>
  <w:footnote w:id="6">
    <w:p w:rsidR="00E549D0" w:rsidRDefault="00E549D0">
      <w:pPr>
        <w:pStyle w:val="Notedebasdepage"/>
      </w:pPr>
      <w:r>
        <w:rPr>
          <w:rStyle w:val="Marquenotebasdepage"/>
        </w:rPr>
        <w:footnoteRef/>
      </w:r>
      <w:r>
        <w:t xml:space="preserve"> </w:t>
      </w:r>
      <w:r w:rsidRPr="005C69B7">
        <w:rPr>
          <w:i/>
        </w:rPr>
        <w:t>Le Rôle social du patron</w:t>
      </w:r>
      <w:r>
        <w:t xml:space="preserve">, in Jeune Patron, revue du Centre des Jeunes Patrons, 1952. Sur Auguste </w:t>
      </w:r>
      <w:proofErr w:type="spellStart"/>
      <w:r>
        <w:t>Detœuf</w:t>
      </w:r>
      <w:proofErr w:type="spellEnd"/>
      <w:r>
        <w:t xml:space="preserve"> Cf. Mousli (2010) p.73 à 80.</w:t>
      </w:r>
    </w:p>
  </w:footnote>
  <w:footnote w:id="7">
    <w:p w:rsidR="00E549D0" w:rsidRDefault="00E549D0" w:rsidP="00C44CE5">
      <w:pPr>
        <w:pStyle w:val="Notedebasdepage"/>
      </w:pPr>
      <w:r>
        <w:rPr>
          <w:rStyle w:val="Marquenotebasdepage"/>
        </w:rPr>
        <w:footnoteRef/>
      </w:r>
      <w:r>
        <w:t xml:space="preserve"> Cf.</w:t>
      </w:r>
      <w:r w:rsidRPr="00EA3778">
        <w:t xml:space="preserve"> </w:t>
      </w:r>
      <w:proofErr w:type="spellStart"/>
      <w:r w:rsidRPr="00EA3778">
        <w:t>Gimpel</w:t>
      </w:r>
      <w:proofErr w:type="spellEnd"/>
      <w:r>
        <w:t xml:space="preserve"> 1975, </w:t>
      </w:r>
      <w:proofErr w:type="spellStart"/>
      <w:r>
        <w:t>chap.4</w:t>
      </w:r>
      <w:proofErr w:type="spellEnd"/>
      <w:r>
        <w:t>.</w:t>
      </w:r>
    </w:p>
  </w:footnote>
  <w:footnote w:id="8">
    <w:p w:rsidR="00E549D0" w:rsidRDefault="00E549D0">
      <w:pPr>
        <w:pStyle w:val="Notedebasdepage"/>
      </w:pPr>
      <w:r>
        <w:rPr>
          <w:rStyle w:val="Marquenotebasdepage"/>
        </w:rPr>
        <w:footnoteRef/>
      </w:r>
      <w:r>
        <w:t xml:space="preserve"> Rapport du Club de Rome sur les limites à la croissance (</w:t>
      </w:r>
      <w:proofErr w:type="spellStart"/>
      <w:r>
        <w:t>Meadows</w:t>
      </w:r>
      <w:proofErr w:type="spellEnd"/>
      <w:r>
        <w:t xml:space="preserve"> &amp; </w:t>
      </w:r>
      <w:proofErr w:type="spellStart"/>
      <w:r>
        <w:t>alii</w:t>
      </w:r>
      <w:proofErr w:type="spellEnd"/>
      <w:r>
        <w:t>, 1972), puis symposium de Tokyo de décembre 1973 (Comité exécutif du Club de Rome, 1974).</w:t>
      </w:r>
    </w:p>
  </w:footnote>
  <w:footnote w:id="9">
    <w:p w:rsidR="00E549D0" w:rsidRDefault="00E549D0">
      <w:pPr>
        <w:pStyle w:val="Notedebasdepage"/>
      </w:pPr>
      <w:r>
        <w:rPr>
          <w:rStyle w:val="Marquenotebasdepage"/>
        </w:rPr>
        <w:footnoteRef/>
      </w:r>
      <w:r>
        <w:t xml:space="preserve"> Cygne Noir : événement aberrant, au sens statistique du terme (Taleb, 2007).</w:t>
      </w:r>
    </w:p>
  </w:footnote>
  <w:footnote w:id="10">
    <w:p w:rsidR="00E549D0" w:rsidRDefault="00E549D0">
      <w:pPr>
        <w:pStyle w:val="Notedebasdepage"/>
      </w:pPr>
      <w:r>
        <w:rPr>
          <w:rStyle w:val="Marquenotebasdepage"/>
        </w:rPr>
        <w:footnoteRef/>
      </w:r>
      <w:r>
        <w:t xml:space="preserve"> De nombreux ouvrages et articles ont été publiés sur cette question. On citera Ewald (2009), </w:t>
      </w:r>
      <w:proofErr w:type="spellStart"/>
      <w:r>
        <w:t>Bronner</w:t>
      </w:r>
      <w:proofErr w:type="spellEnd"/>
      <w:r>
        <w:t xml:space="preserve"> &amp; </w:t>
      </w:r>
      <w:proofErr w:type="spellStart"/>
      <w:r>
        <w:t>Géhin</w:t>
      </w:r>
      <w:proofErr w:type="spellEnd"/>
      <w:r>
        <w:t xml:space="preserve"> (2010), </w:t>
      </w:r>
      <w:proofErr w:type="spellStart"/>
      <w:r>
        <w:t>Poitrinal</w:t>
      </w:r>
      <w:proofErr w:type="spellEnd"/>
      <w:r>
        <w:t xml:space="preserve"> (2012).</w:t>
      </w:r>
    </w:p>
  </w:footnote>
  <w:footnote w:id="11">
    <w:p w:rsidR="00E549D0" w:rsidRDefault="00E549D0">
      <w:pPr>
        <w:pStyle w:val="Notedebasdepage"/>
      </w:pPr>
      <w:r>
        <w:rPr>
          <w:rStyle w:val="Marquenotebasdepage"/>
        </w:rPr>
        <w:footnoteRef/>
      </w:r>
      <w:r>
        <w:t xml:space="preserve"> On remarquera que la communication massive, alarmiste et parfois maladroite sur les risques du changement climatique tend à induire le même comportement dans la majorité de la population informée, même quand elle n’est pas américaine et n’a pas étudié Peirce et James. </w:t>
      </w:r>
    </w:p>
  </w:footnote>
  <w:footnote w:id="12">
    <w:p w:rsidR="00E549D0" w:rsidRPr="00A10B54" w:rsidRDefault="00E549D0" w:rsidP="00A10B54">
      <w:pPr>
        <w:pStyle w:val="Notedebasdepage"/>
      </w:pPr>
      <w:r>
        <w:rPr>
          <w:rStyle w:val="Marquenotebasdepage"/>
        </w:rPr>
        <w:footnoteRef/>
      </w:r>
      <w:r>
        <w:t xml:space="preserve"> Le pragmatisme fut d’abord élaboré par Charles S. Peirce pour résoudre « </w:t>
      </w:r>
      <w:r w:rsidRPr="000258A2">
        <w:rPr>
          <w:i/>
        </w:rPr>
        <w:t>des débats métaphysiques qui sans cela seraient interminables</w:t>
      </w:r>
      <w:r>
        <w:t> ». Son ami William James le présente sous une forme plus concise et plus claire : « </w:t>
      </w:r>
      <w:r w:rsidRPr="000258A2">
        <w:rPr>
          <w:i/>
        </w:rPr>
        <w:t xml:space="preserve">La méthode pragmatique vise à interpréter chaque </w:t>
      </w:r>
      <w:r>
        <w:rPr>
          <w:i/>
        </w:rPr>
        <w:t xml:space="preserve">notion en </w:t>
      </w:r>
      <w:r w:rsidRPr="000258A2">
        <w:rPr>
          <w:i/>
        </w:rPr>
        <w:t>regardant quelles sont ses conséquences pratiques. Quelle différence y aurait-il en pratique si telle notion plutôt que telle autre était vraie ? Si cela ne fait aucune différence pour quiconque, c’est que les deux notions sont pratiquement équivalentes et toute discussion est vaine. Lorsqu’un débat est sérieux, nous devons pouvoir montrer que le fait que l’une ou l’autre partie ait raison entraîne une différence, en pratique</w:t>
      </w:r>
      <w:r>
        <w:rPr>
          <w:i/>
        </w:rPr>
        <w:t> ».</w:t>
      </w:r>
      <w:r>
        <w:t> </w:t>
      </w:r>
      <w:r w:rsidRPr="00A10B54">
        <w:rPr>
          <w:i/>
        </w:rPr>
        <w:t xml:space="preserve"> </w:t>
      </w:r>
      <w:r w:rsidRPr="00F60596">
        <w:t xml:space="preserve">The </w:t>
      </w:r>
      <w:proofErr w:type="spellStart"/>
      <w:r w:rsidRPr="00F60596">
        <w:t>Pragmatic</w:t>
      </w:r>
      <w:proofErr w:type="spellEnd"/>
      <w:r w:rsidRPr="00F60596">
        <w:t xml:space="preserve"> </w:t>
      </w:r>
      <w:proofErr w:type="spellStart"/>
      <w:r w:rsidRPr="00F60596">
        <w:t>Method</w:t>
      </w:r>
      <w:proofErr w:type="spellEnd"/>
      <w:r w:rsidRPr="00A10B54">
        <w:t xml:space="preserve">, par William James, in </w:t>
      </w:r>
      <w:r w:rsidRPr="00A10B54">
        <w:rPr>
          <w:i/>
        </w:rPr>
        <w:t xml:space="preserve">The Journal of </w:t>
      </w:r>
      <w:proofErr w:type="spellStart"/>
      <w:r w:rsidRPr="00A10B54">
        <w:rPr>
          <w:i/>
        </w:rPr>
        <w:t>Philososophy</w:t>
      </w:r>
      <w:proofErr w:type="spellEnd"/>
      <w:r w:rsidRPr="00A10B54">
        <w:rPr>
          <w:i/>
        </w:rPr>
        <w:t xml:space="preserve">, </w:t>
      </w:r>
      <w:proofErr w:type="spellStart"/>
      <w:r w:rsidRPr="00A10B54">
        <w:rPr>
          <w:i/>
        </w:rPr>
        <w:t>Psychology</w:t>
      </w:r>
      <w:proofErr w:type="spellEnd"/>
      <w:r w:rsidRPr="00A10B54">
        <w:rPr>
          <w:i/>
        </w:rPr>
        <w:t xml:space="preserve"> and </w:t>
      </w:r>
      <w:proofErr w:type="spellStart"/>
      <w:r w:rsidRPr="00A10B54">
        <w:rPr>
          <w:i/>
        </w:rPr>
        <w:t>Scientific</w:t>
      </w:r>
      <w:proofErr w:type="spellEnd"/>
      <w:r w:rsidRPr="00A10B54">
        <w:rPr>
          <w:i/>
        </w:rPr>
        <w:t xml:space="preserve"> </w:t>
      </w:r>
      <w:proofErr w:type="spellStart"/>
      <w:r w:rsidRPr="00A10B54">
        <w:rPr>
          <w:i/>
        </w:rPr>
        <w:t>Methods</w:t>
      </w:r>
      <w:proofErr w:type="spellEnd"/>
      <w:r w:rsidRPr="00A10B54">
        <w:t xml:space="preserve">, Columbia </w:t>
      </w:r>
      <w:proofErr w:type="spellStart"/>
      <w:r w:rsidRPr="00A10B54">
        <w:t>University</w:t>
      </w:r>
      <w:proofErr w:type="spellEnd"/>
      <w:r w:rsidRPr="00A10B54">
        <w:t>, 1904 (1, p.673-687). (En français : James, 2007).</w:t>
      </w:r>
    </w:p>
  </w:footnote>
  <w:footnote w:id="13">
    <w:p w:rsidR="00E549D0" w:rsidRDefault="00E549D0">
      <w:pPr>
        <w:pStyle w:val="Notedebasdepage"/>
      </w:pPr>
      <w:r>
        <w:rPr>
          <w:rStyle w:val="Marquenotebasdepage"/>
        </w:rPr>
        <w:footnoteRef/>
      </w:r>
      <w:r>
        <w:t xml:space="preserve"> Rousseau (1761), 4</w:t>
      </w:r>
      <w:r w:rsidRPr="004903CC">
        <w:rPr>
          <w:vertAlign w:val="superscript"/>
        </w:rPr>
        <w:t>e</w:t>
      </w:r>
      <w:r>
        <w:t xml:space="preserve"> partie, Lettre XIV de M. </w:t>
      </w:r>
      <w:proofErr w:type="spellStart"/>
      <w:r>
        <w:t>Wolmar</w:t>
      </w:r>
      <w:proofErr w:type="spellEnd"/>
      <w:r>
        <w:t xml:space="preserve"> à Mme d’Orbe.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809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C4DAD4"/>
    <w:lvl w:ilvl="0">
      <w:start w:val="1"/>
      <w:numFmt w:val="decimal"/>
      <w:lvlText w:val="%1."/>
      <w:lvlJc w:val="left"/>
      <w:pPr>
        <w:tabs>
          <w:tab w:val="num" w:pos="1492"/>
        </w:tabs>
        <w:ind w:left="1492" w:hanging="360"/>
      </w:pPr>
    </w:lvl>
  </w:abstractNum>
  <w:abstractNum w:abstractNumId="2">
    <w:nsid w:val="FFFFFF7D"/>
    <w:multiLevelType w:val="singleLevel"/>
    <w:tmpl w:val="EF3C79F8"/>
    <w:lvl w:ilvl="0">
      <w:start w:val="1"/>
      <w:numFmt w:val="decimal"/>
      <w:lvlText w:val="%1."/>
      <w:lvlJc w:val="left"/>
      <w:pPr>
        <w:tabs>
          <w:tab w:val="num" w:pos="1209"/>
        </w:tabs>
        <w:ind w:left="1209" w:hanging="360"/>
      </w:pPr>
    </w:lvl>
  </w:abstractNum>
  <w:abstractNum w:abstractNumId="3">
    <w:nsid w:val="FFFFFF7E"/>
    <w:multiLevelType w:val="singleLevel"/>
    <w:tmpl w:val="DE76E6A6"/>
    <w:lvl w:ilvl="0">
      <w:start w:val="1"/>
      <w:numFmt w:val="decimal"/>
      <w:lvlText w:val="%1."/>
      <w:lvlJc w:val="left"/>
      <w:pPr>
        <w:tabs>
          <w:tab w:val="num" w:pos="926"/>
        </w:tabs>
        <w:ind w:left="926" w:hanging="360"/>
      </w:pPr>
    </w:lvl>
  </w:abstractNum>
  <w:abstractNum w:abstractNumId="4">
    <w:nsid w:val="FFFFFF7F"/>
    <w:multiLevelType w:val="singleLevel"/>
    <w:tmpl w:val="EC286FD0"/>
    <w:lvl w:ilvl="0">
      <w:start w:val="1"/>
      <w:numFmt w:val="decimal"/>
      <w:lvlText w:val="%1."/>
      <w:lvlJc w:val="left"/>
      <w:pPr>
        <w:tabs>
          <w:tab w:val="num" w:pos="643"/>
        </w:tabs>
        <w:ind w:left="643" w:hanging="360"/>
      </w:pPr>
    </w:lvl>
  </w:abstractNum>
  <w:abstractNum w:abstractNumId="5">
    <w:nsid w:val="FFFFFF80"/>
    <w:multiLevelType w:val="singleLevel"/>
    <w:tmpl w:val="DA266F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D218E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2E68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61E723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368E7AA"/>
    <w:lvl w:ilvl="0">
      <w:start w:val="1"/>
      <w:numFmt w:val="decimal"/>
      <w:lvlText w:val="%1."/>
      <w:lvlJc w:val="left"/>
      <w:pPr>
        <w:tabs>
          <w:tab w:val="num" w:pos="360"/>
        </w:tabs>
        <w:ind w:left="360" w:hanging="360"/>
      </w:pPr>
    </w:lvl>
  </w:abstractNum>
  <w:abstractNum w:abstractNumId="10">
    <w:nsid w:val="FFFFFF89"/>
    <w:multiLevelType w:val="singleLevel"/>
    <w:tmpl w:val="82A4362C"/>
    <w:lvl w:ilvl="0">
      <w:start w:val="1"/>
      <w:numFmt w:val="bullet"/>
      <w:lvlText w:val=""/>
      <w:lvlJc w:val="left"/>
      <w:pPr>
        <w:tabs>
          <w:tab w:val="num" w:pos="360"/>
        </w:tabs>
        <w:ind w:left="360" w:hanging="360"/>
      </w:pPr>
      <w:rPr>
        <w:rFonts w:ascii="Symbol" w:hAnsi="Symbol" w:hint="default"/>
      </w:rPr>
    </w:lvl>
  </w:abstractNum>
  <w:abstractNum w:abstractNumId="11">
    <w:nsid w:val="6D8F4A88"/>
    <w:multiLevelType w:val="hybridMultilevel"/>
    <w:tmpl w:val="F5C6588C"/>
    <w:lvl w:ilvl="0" w:tplc="89B2089C">
      <w:numFmt w:val="bullet"/>
      <w:pStyle w:val="numration"/>
      <w:lvlText w:val="-"/>
      <w:lvlJc w:val="left"/>
      <w:pPr>
        <w:tabs>
          <w:tab w:val="num" w:pos="388"/>
        </w:tabs>
        <w:ind w:left="388" w:hanging="283"/>
      </w:pPr>
      <w:rPr>
        <w:rFonts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11"/>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28EA"/>
    <w:rsid w:val="00000D15"/>
    <w:rsid w:val="00013164"/>
    <w:rsid w:val="00020E14"/>
    <w:rsid w:val="00022A89"/>
    <w:rsid w:val="000258A2"/>
    <w:rsid w:val="00066EF9"/>
    <w:rsid w:val="00090EEF"/>
    <w:rsid w:val="00093607"/>
    <w:rsid w:val="000B16D2"/>
    <w:rsid w:val="000E404E"/>
    <w:rsid w:val="00105D03"/>
    <w:rsid w:val="00126AE5"/>
    <w:rsid w:val="00134B28"/>
    <w:rsid w:val="00137B2B"/>
    <w:rsid w:val="00156372"/>
    <w:rsid w:val="001723C5"/>
    <w:rsid w:val="00182BB5"/>
    <w:rsid w:val="0019308B"/>
    <w:rsid w:val="001A6FE0"/>
    <w:rsid w:val="001C038B"/>
    <w:rsid w:val="001D6E79"/>
    <w:rsid w:val="002106B6"/>
    <w:rsid w:val="00224567"/>
    <w:rsid w:val="0023576A"/>
    <w:rsid w:val="002534ED"/>
    <w:rsid w:val="00266896"/>
    <w:rsid w:val="00267FB6"/>
    <w:rsid w:val="0027390B"/>
    <w:rsid w:val="002825E0"/>
    <w:rsid w:val="0029185A"/>
    <w:rsid w:val="00294935"/>
    <w:rsid w:val="00296980"/>
    <w:rsid w:val="002B11D1"/>
    <w:rsid w:val="002B28DB"/>
    <w:rsid w:val="00303F45"/>
    <w:rsid w:val="00307892"/>
    <w:rsid w:val="00313474"/>
    <w:rsid w:val="00317E91"/>
    <w:rsid w:val="0039517C"/>
    <w:rsid w:val="003D47A6"/>
    <w:rsid w:val="003E1D78"/>
    <w:rsid w:val="003F13A4"/>
    <w:rsid w:val="00411D3D"/>
    <w:rsid w:val="00426B34"/>
    <w:rsid w:val="004369D0"/>
    <w:rsid w:val="00440BB0"/>
    <w:rsid w:val="004569D7"/>
    <w:rsid w:val="0047065B"/>
    <w:rsid w:val="0049025F"/>
    <w:rsid w:val="004903CC"/>
    <w:rsid w:val="004E31E1"/>
    <w:rsid w:val="00503126"/>
    <w:rsid w:val="00503A23"/>
    <w:rsid w:val="0051166F"/>
    <w:rsid w:val="00513E11"/>
    <w:rsid w:val="00531194"/>
    <w:rsid w:val="00554F73"/>
    <w:rsid w:val="00557A40"/>
    <w:rsid w:val="00557F18"/>
    <w:rsid w:val="00575BDE"/>
    <w:rsid w:val="00577FC8"/>
    <w:rsid w:val="005B0DF7"/>
    <w:rsid w:val="005B36BE"/>
    <w:rsid w:val="005C69B7"/>
    <w:rsid w:val="005C757D"/>
    <w:rsid w:val="005D749D"/>
    <w:rsid w:val="00630CFC"/>
    <w:rsid w:val="00635493"/>
    <w:rsid w:val="006428EA"/>
    <w:rsid w:val="006511E3"/>
    <w:rsid w:val="00674254"/>
    <w:rsid w:val="00694718"/>
    <w:rsid w:val="006D3AC3"/>
    <w:rsid w:val="006E2314"/>
    <w:rsid w:val="006E588F"/>
    <w:rsid w:val="00720B94"/>
    <w:rsid w:val="00742DFA"/>
    <w:rsid w:val="0078569F"/>
    <w:rsid w:val="007945D2"/>
    <w:rsid w:val="007D5BB6"/>
    <w:rsid w:val="007E4C80"/>
    <w:rsid w:val="00832E6B"/>
    <w:rsid w:val="00845B46"/>
    <w:rsid w:val="00852EBC"/>
    <w:rsid w:val="00864B94"/>
    <w:rsid w:val="00887520"/>
    <w:rsid w:val="008C6C39"/>
    <w:rsid w:val="008D156F"/>
    <w:rsid w:val="008F509B"/>
    <w:rsid w:val="008F70F8"/>
    <w:rsid w:val="0091108B"/>
    <w:rsid w:val="00945AEF"/>
    <w:rsid w:val="00967E98"/>
    <w:rsid w:val="009942FA"/>
    <w:rsid w:val="009C4C45"/>
    <w:rsid w:val="009D2A33"/>
    <w:rsid w:val="009D3D4B"/>
    <w:rsid w:val="009E750A"/>
    <w:rsid w:val="00A10B54"/>
    <w:rsid w:val="00A10F3A"/>
    <w:rsid w:val="00A30C7C"/>
    <w:rsid w:val="00A3476C"/>
    <w:rsid w:val="00A3753A"/>
    <w:rsid w:val="00A47993"/>
    <w:rsid w:val="00A70993"/>
    <w:rsid w:val="00A82C5D"/>
    <w:rsid w:val="00A876BD"/>
    <w:rsid w:val="00AB7780"/>
    <w:rsid w:val="00AE012E"/>
    <w:rsid w:val="00AE1EE0"/>
    <w:rsid w:val="00AF080E"/>
    <w:rsid w:val="00B05BAD"/>
    <w:rsid w:val="00B203F5"/>
    <w:rsid w:val="00B233C2"/>
    <w:rsid w:val="00B379AC"/>
    <w:rsid w:val="00B43CD7"/>
    <w:rsid w:val="00B8128C"/>
    <w:rsid w:val="00B8648C"/>
    <w:rsid w:val="00B876F9"/>
    <w:rsid w:val="00C2376E"/>
    <w:rsid w:val="00C44CE5"/>
    <w:rsid w:val="00C45834"/>
    <w:rsid w:val="00C51F75"/>
    <w:rsid w:val="00C52573"/>
    <w:rsid w:val="00C54ABC"/>
    <w:rsid w:val="00C73EAE"/>
    <w:rsid w:val="00CB2648"/>
    <w:rsid w:val="00CC5AAB"/>
    <w:rsid w:val="00CD0C67"/>
    <w:rsid w:val="00CF5CD1"/>
    <w:rsid w:val="00CF7C69"/>
    <w:rsid w:val="00D10F15"/>
    <w:rsid w:val="00D163AB"/>
    <w:rsid w:val="00D21FEA"/>
    <w:rsid w:val="00D23E0A"/>
    <w:rsid w:val="00D42572"/>
    <w:rsid w:val="00D71CF3"/>
    <w:rsid w:val="00D72254"/>
    <w:rsid w:val="00D87E02"/>
    <w:rsid w:val="00D970C2"/>
    <w:rsid w:val="00DC0BBA"/>
    <w:rsid w:val="00DC769E"/>
    <w:rsid w:val="00DD0BA4"/>
    <w:rsid w:val="00DE1232"/>
    <w:rsid w:val="00DF13D4"/>
    <w:rsid w:val="00E02C78"/>
    <w:rsid w:val="00E14CA3"/>
    <w:rsid w:val="00E1706C"/>
    <w:rsid w:val="00E214DB"/>
    <w:rsid w:val="00E22FE7"/>
    <w:rsid w:val="00E43541"/>
    <w:rsid w:val="00E45D67"/>
    <w:rsid w:val="00E549D0"/>
    <w:rsid w:val="00E75050"/>
    <w:rsid w:val="00E84360"/>
    <w:rsid w:val="00E93082"/>
    <w:rsid w:val="00E95547"/>
    <w:rsid w:val="00EA3620"/>
    <w:rsid w:val="00EA3778"/>
    <w:rsid w:val="00EF0ED6"/>
    <w:rsid w:val="00EF32D4"/>
    <w:rsid w:val="00F309DA"/>
    <w:rsid w:val="00F60596"/>
    <w:rsid w:val="00F751F3"/>
    <w:rsid w:val="00FA19C9"/>
    <w:rsid w:val="00FB76E1"/>
    <w:rsid w:val="00FC5C40"/>
    <w:rsid w:val="00FC7533"/>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440BB0"/>
    <w:pPr>
      <w:spacing w:line="360" w:lineRule="auto"/>
      <w:jc w:val="both"/>
    </w:pPr>
    <w:rPr>
      <w:rFonts w:ascii="Calibri" w:hAnsi="Calibri"/>
    </w:rPr>
  </w:style>
  <w:style w:type="paragraph" w:styleId="Titre1">
    <w:name w:val="heading 1"/>
    <w:basedOn w:val="Normal"/>
    <w:next w:val="Normal"/>
    <w:link w:val="Titre1Car"/>
    <w:rsid w:val="00557F18"/>
    <w:pPr>
      <w:keepNext/>
      <w:keepLines/>
      <w:spacing w:before="120" w:after="360"/>
      <w:jc w:val="center"/>
      <w:outlineLvl w:val="0"/>
    </w:pPr>
    <w:rPr>
      <w:rFonts w:asciiTheme="majorHAnsi" w:eastAsiaTheme="majorEastAsia" w:hAnsiTheme="majorHAnsi" w:cstheme="majorBidi"/>
      <w:b/>
      <w:bCs/>
      <w:color w:val="262626" w:themeColor="text1" w:themeTint="D9"/>
      <w:sz w:val="32"/>
      <w:szCs w:val="32"/>
    </w:rPr>
  </w:style>
  <w:style w:type="paragraph" w:styleId="Titre2">
    <w:name w:val="heading 2"/>
    <w:basedOn w:val="Normal"/>
    <w:next w:val="Normal"/>
    <w:link w:val="Titre2Car"/>
    <w:rsid w:val="00557F18"/>
    <w:pPr>
      <w:keepNext/>
      <w:keepLines/>
      <w:spacing w:before="240" w:after="240"/>
      <w:jc w:val="left"/>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rsid w:val="0049025F"/>
    <w:pPr>
      <w:keepNext/>
      <w:keepLines/>
      <w:spacing w:before="360" w:after="120"/>
      <w:outlineLvl w:val="2"/>
    </w:pPr>
    <w:rPr>
      <w:rFonts w:eastAsiaTheme="majorEastAsia" w:cstheme="majorBidi"/>
      <w:bCs/>
      <w:i/>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AD1B7A"/>
    <w:rPr>
      <w:rFonts w:ascii="Lucida Grande" w:hAnsi="Lucida Grande"/>
      <w:sz w:val="18"/>
      <w:szCs w:val="18"/>
    </w:rPr>
  </w:style>
  <w:style w:type="character" w:customStyle="1" w:styleId="TextedebullesCar">
    <w:name w:val="Texte de bulles Car"/>
    <w:basedOn w:val="Policepardfaut"/>
    <w:link w:val="Textedebulles"/>
    <w:uiPriority w:val="99"/>
    <w:semiHidden/>
    <w:rsid w:val="00AD1B7A"/>
    <w:rPr>
      <w:rFonts w:ascii="Lucida Grande" w:hAnsi="Lucida Grande"/>
      <w:sz w:val="18"/>
      <w:szCs w:val="18"/>
    </w:rPr>
  </w:style>
  <w:style w:type="paragraph" w:customStyle="1" w:styleId="numration">
    <w:name w:val="énumération"/>
    <w:basedOn w:val="Normal"/>
    <w:rsid w:val="006428EA"/>
    <w:pPr>
      <w:numPr>
        <w:numId w:val="1"/>
      </w:numPr>
    </w:pPr>
  </w:style>
  <w:style w:type="character" w:customStyle="1" w:styleId="Titre2Car">
    <w:name w:val="Titre 2 Car"/>
    <w:basedOn w:val="Policepardfaut"/>
    <w:link w:val="Titre2"/>
    <w:rsid w:val="00557F18"/>
    <w:rPr>
      <w:rFonts w:asciiTheme="majorHAnsi" w:eastAsiaTheme="majorEastAsia" w:hAnsiTheme="majorHAnsi" w:cstheme="majorBidi"/>
      <w:b/>
      <w:bCs/>
      <w:sz w:val="28"/>
      <w:szCs w:val="26"/>
    </w:rPr>
  </w:style>
  <w:style w:type="character" w:customStyle="1" w:styleId="Titre3Car">
    <w:name w:val="Titre 3 Car"/>
    <w:basedOn w:val="Policepardfaut"/>
    <w:link w:val="Titre3"/>
    <w:rsid w:val="0049025F"/>
    <w:rPr>
      <w:rFonts w:ascii="Calibri" w:eastAsiaTheme="majorEastAsia" w:hAnsi="Calibri" w:cstheme="majorBidi"/>
      <w:bCs/>
      <w:i/>
    </w:rPr>
  </w:style>
  <w:style w:type="character" w:customStyle="1" w:styleId="Titre1Car">
    <w:name w:val="Titre 1 Car"/>
    <w:basedOn w:val="Policepardfaut"/>
    <w:link w:val="Titre1"/>
    <w:rsid w:val="00557F18"/>
    <w:rPr>
      <w:rFonts w:asciiTheme="majorHAnsi" w:eastAsiaTheme="majorEastAsia" w:hAnsiTheme="majorHAnsi" w:cstheme="majorBidi"/>
      <w:b/>
      <w:bCs/>
      <w:color w:val="262626" w:themeColor="text1" w:themeTint="D9"/>
      <w:sz w:val="32"/>
      <w:szCs w:val="32"/>
    </w:rPr>
  </w:style>
  <w:style w:type="paragraph" w:styleId="Notedebasdepage">
    <w:name w:val="footnote text"/>
    <w:basedOn w:val="Normal"/>
    <w:link w:val="NotedebasdepageCar"/>
    <w:uiPriority w:val="99"/>
    <w:rsid w:val="0078569F"/>
    <w:pPr>
      <w:spacing w:line="240" w:lineRule="auto"/>
    </w:pPr>
    <w:rPr>
      <w:sz w:val="20"/>
    </w:rPr>
  </w:style>
  <w:style w:type="character" w:customStyle="1" w:styleId="NotedebasdepageCar">
    <w:name w:val="Note de bas de page Car"/>
    <w:basedOn w:val="Policepardfaut"/>
    <w:link w:val="Notedebasdepage"/>
    <w:uiPriority w:val="99"/>
    <w:rsid w:val="0078569F"/>
    <w:rPr>
      <w:rFonts w:ascii="Helvetica" w:hAnsi="Helvetica"/>
      <w:sz w:val="20"/>
    </w:rPr>
  </w:style>
  <w:style w:type="character" w:styleId="Marquenotebasdepage">
    <w:name w:val="footnote reference"/>
    <w:basedOn w:val="Policepardfaut"/>
    <w:uiPriority w:val="99"/>
    <w:rsid w:val="00AE1EE0"/>
    <w:rPr>
      <w:vertAlign w:val="superscript"/>
    </w:rPr>
  </w:style>
  <w:style w:type="paragraph" w:styleId="Pieddepage">
    <w:name w:val="footer"/>
    <w:basedOn w:val="Normal"/>
    <w:link w:val="PieddepageCar"/>
    <w:rsid w:val="00134B28"/>
    <w:pPr>
      <w:tabs>
        <w:tab w:val="center" w:pos="4703"/>
        <w:tab w:val="right" w:pos="9406"/>
      </w:tabs>
      <w:spacing w:line="240" w:lineRule="auto"/>
    </w:pPr>
  </w:style>
  <w:style w:type="character" w:customStyle="1" w:styleId="PieddepageCar">
    <w:name w:val="Pied de page Car"/>
    <w:basedOn w:val="Policepardfaut"/>
    <w:link w:val="Pieddepage"/>
    <w:rsid w:val="00134B28"/>
    <w:rPr>
      <w:rFonts w:ascii="Helvetica" w:hAnsi="Helvetica"/>
    </w:rPr>
  </w:style>
  <w:style w:type="character" w:styleId="Numrodepage">
    <w:name w:val="page number"/>
    <w:basedOn w:val="Policepardfaut"/>
    <w:rsid w:val="00134B28"/>
  </w:style>
  <w:style w:type="paragraph" w:styleId="Explorateurdedocument">
    <w:name w:val="Document Map"/>
    <w:basedOn w:val="Normal"/>
    <w:link w:val="ExplorateurdedocumentCar"/>
    <w:rsid w:val="00554F73"/>
    <w:pPr>
      <w:spacing w:line="240" w:lineRule="auto"/>
    </w:pPr>
    <w:rPr>
      <w:rFonts w:ascii="Lucida Grande" w:hAnsi="Lucida Grande"/>
    </w:rPr>
  </w:style>
  <w:style w:type="character" w:customStyle="1" w:styleId="ExplorateurdedocumentCar">
    <w:name w:val="Explorateur de document Car"/>
    <w:basedOn w:val="Policepardfaut"/>
    <w:link w:val="Explorateurdedocument"/>
    <w:rsid w:val="00554F73"/>
    <w:rPr>
      <w:rFonts w:ascii="Lucida Grande" w:hAnsi="Lucida Grande"/>
    </w:rPr>
  </w:style>
  <w:style w:type="paragraph" w:styleId="TM1">
    <w:name w:val="toc 1"/>
    <w:basedOn w:val="Normal"/>
    <w:next w:val="Normal"/>
    <w:autoRedefine/>
    <w:uiPriority w:val="39"/>
    <w:rsid w:val="00B8648C"/>
    <w:pPr>
      <w:spacing w:before="360"/>
      <w:jc w:val="left"/>
    </w:pPr>
    <w:rPr>
      <w:rFonts w:asciiTheme="majorHAnsi" w:hAnsiTheme="majorHAnsi"/>
      <w:b/>
      <w:caps/>
    </w:rPr>
  </w:style>
  <w:style w:type="paragraph" w:styleId="TM2">
    <w:name w:val="toc 2"/>
    <w:basedOn w:val="Normal"/>
    <w:next w:val="Normal"/>
    <w:autoRedefine/>
    <w:uiPriority w:val="39"/>
    <w:rsid w:val="00B8648C"/>
    <w:pPr>
      <w:spacing w:before="240"/>
      <w:jc w:val="left"/>
    </w:pPr>
    <w:rPr>
      <w:rFonts w:asciiTheme="minorHAnsi" w:hAnsiTheme="minorHAnsi"/>
      <w:b/>
      <w:sz w:val="20"/>
      <w:szCs w:val="20"/>
    </w:rPr>
  </w:style>
  <w:style w:type="paragraph" w:styleId="TM3">
    <w:name w:val="toc 3"/>
    <w:basedOn w:val="Normal"/>
    <w:next w:val="Normal"/>
    <w:autoRedefine/>
    <w:uiPriority w:val="39"/>
    <w:rsid w:val="00B8648C"/>
    <w:pPr>
      <w:ind w:left="240"/>
      <w:jc w:val="left"/>
    </w:pPr>
    <w:rPr>
      <w:rFonts w:asciiTheme="minorHAnsi" w:hAnsiTheme="minorHAnsi"/>
      <w:sz w:val="20"/>
      <w:szCs w:val="20"/>
    </w:rPr>
  </w:style>
  <w:style w:type="paragraph" w:styleId="TM4">
    <w:name w:val="toc 4"/>
    <w:basedOn w:val="Normal"/>
    <w:next w:val="Normal"/>
    <w:autoRedefine/>
    <w:rsid w:val="00B8648C"/>
    <w:pPr>
      <w:ind w:left="480"/>
      <w:jc w:val="left"/>
    </w:pPr>
    <w:rPr>
      <w:rFonts w:asciiTheme="minorHAnsi" w:hAnsiTheme="minorHAnsi"/>
      <w:sz w:val="20"/>
      <w:szCs w:val="20"/>
    </w:rPr>
  </w:style>
  <w:style w:type="paragraph" w:styleId="TM5">
    <w:name w:val="toc 5"/>
    <w:basedOn w:val="Normal"/>
    <w:next w:val="Normal"/>
    <w:autoRedefine/>
    <w:rsid w:val="00B8648C"/>
    <w:pPr>
      <w:ind w:left="720"/>
      <w:jc w:val="left"/>
    </w:pPr>
    <w:rPr>
      <w:rFonts w:asciiTheme="minorHAnsi" w:hAnsiTheme="minorHAnsi"/>
      <w:sz w:val="20"/>
      <w:szCs w:val="20"/>
    </w:rPr>
  </w:style>
  <w:style w:type="paragraph" w:styleId="TM6">
    <w:name w:val="toc 6"/>
    <w:basedOn w:val="Normal"/>
    <w:next w:val="Normal"/>
    <w:autoRedefine/>
    <w:rsid w:val="00B8648C"/>
    <w:pPr>
      <w:ind w:left="960"/>
      <w:jc w:val="left"/>
    </w:pPr>
    <w:rPr>
      <w:rFonts w:asciiTheme="minorHAnsi" w:hAnsiTheme="minorHAnsi"/>
      <w:sz w:val="20"/>
      <w:szCs w:val="20"/>
    </w:rPr>
  </w:style>
  <w:style w:type="paragraph" w:styleId="TM7">
    <w:name w:val="toc 7"/>
    <w:basedOn w:val="Normal"/>
    <w:next w:val="Normal"/>
    <w:autoRedefine/>
    <w:rsid w:val="00B8648C"/>
    <w:pPr>
      <w:ind w:left="1200"/>
      <w:jc w:val="left"/>
    </w:pPr>
    <w:rPr>
      <w:rFonts w:asciiTheme="minorHAnsi" w:hAnsiTheme="minorHAnsi"/>
      <w:sz w:val="20"/>
      <w:szCs w:val="20"/>
    </w:rPr>
  </w:style>
  <w:style w:type="paragraph" w:styleId="TM8">
    <w:name w:val="toc 8"/>
    <w:basedOn w:val="Normal"/>
    <w:next w:val="Normal"/>
    <w:autoRedefine/>
    <w:rsid w:val="00B8648C"/>
    <w:pPr>
      <w:ind w:left="1440"/>
      <w:jc w:val="left"/>
    </w:pPr>
    <w:rPr>
      <w:rFonts w:asciiTheme="minorHAnsi" w:hAnsiTheme="minorHAnsi"/>
      <w:sz w:val="20"/>
      <w:szCs w:val="20"/>
    </w:rPr>
  </w:style>
  <w:style w:type="paragraph" w:styleId="TM9">
    <w:name w:val="toc 9"/>
    <w:basedOn w:val="Normal"/>
    <w:next w:val="Normal"/>
    <w:autoRedefine/>
    <w:rsid w:val="00B8648C"/>
    <w:pPr>
      <w:ind w:left="1680"/>
      <w:jc w:val="left"/>
    </w:pPr>
    <w:rPr>
      <w:rFonts w:asciiTheme="minorHAnsi" w:hAnsiTheme="minorHAnsi"/>
      <w:sz w:val="20"/>
      <w:szCs w:val="20"/>
    </w:rPr>
  </w:style>
  <w:style w:type="paragraph" w:styleId="Bibliographie">
    <w:name w:val="Bibliography"/>
    <w:basedOn w:val="Normal"/>
    <w:next w:val="Normal"/>
    <w:rsid w:val="001C038B"/>
    <w:pPr>
      <w:spacing w:before="120" w:line="240" w:lineRule="auto"/>
    </w:pPr>
  </w:style>
  <w:style w:type="paragraph" w:styleId="En-tte">
    <w:name w:val="header"/>
    <w:basedOn w:val="Normal"/>
    <w:link w:val="En-tteCar"/>
    <w:rsid w:val="0049025F"/>
    <w:pPr>
      <w:tabs>
        <w:tab w:val="center" w:pos="4703"/>
        <w:tab w:val="right" w:pos="9406"/>
      </w:tabs>
      <w:spacing w:line="240" w:lineRule="auto"/>
    </w:pPr>
  </w:style>
  <w:style w:type="character" w:customStyle="1" w:styleId="En-tteCar">
    <w:name w:val="En-tête Car"/>
    <w:basedOn w:val="Policepardfaut"/>
    <w:link w:val="En-tte"/>
    <w:rsid w:val="0049025F"/>
    <w:rPr>
      <w:rFonts w:ascii="Calibri" w:hAnsi="Calibr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10</Pages>
  <Words>2967</Words>
  <Characters>15431</Characters>
  <Application>Microsoft Macintosh Word</Application>
  <DocSecurity>0</DocSecurity>
  <Lines>248</Lines>
  <Paragraphs>69</Paragraphs>
  <ScaleCrop>false</ScaleCrop>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Mousli</dc:creator>
  <cp:keywords/>
  <cp:lastModifiedBy>Marc Mousli</cp:lastModifiedBy>
  <cp:revision>65</cp:revision>
  <cp:lastPrinted>2012-10-28T12:44:00Z</cp:lastPrinted>
  <dcterms:created xsi:type="dcterms:W3CDTF">2012-09-23T16:13:00Z</dcterms:created>
  <dcterms:modified xsi:type="dcterms:W3CDTF">2012-10-28T13:28:00Z</dcterms:modified>
</cp:coreProperties>
</file>